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hint="eastAsia" w:asciiTheme="minorEastAsia" w:hAnsiTheme="minorEastAsia"/>
          <w:b/>
          <w:color w:val="000000"/>
          <w:sz w:val="36"/>
          <w:szCs w:val="36"/>
        </w:rPr>
      </w:pPr>
      <w:r>
        <w:drawing>
          <wp:anchor distT="0" distB="0" distL="114300" distR="114300" simplePos="0" relativeHeight="251659264" behindDoc="0" locked="0" layoutInCell="1" allowOverlap="1">
            <wp:simplePos x="0" y="0"/>
            <wp:positionH relativeFrom="column">
              <wp:posOffset>2037715</wp:posOffset>
            </wp:positionH>
            <wp:positionV relativeFrom="paragraph">
              <wp:posOffset>266065</wp:posOffset>
            </wp:positionV>
            <wp:extent cx="938530" cy="938530"/>
            <wp:effectExtent l="0" t="0" r="13970" b="13970"/>
            <wp:wrapTopAndBottom/>
            <wp:docPr id="4" name="图片 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3"/>
                    <pic:cNvPicPr>
                      <a:picLocks noChangeAspect="1"/>
                    </pic:cNvPicPr>
                  </pic:nvPicPr>
                  <pic:blipFill>
                    <a:blip r:embed="rId6" cstate="print">
                      <a:clrChange>
                        <a:clrFrom>
                          <a:srgbClr val="FFFFFF">
                            <a:alpha val="100000"/>
                          </a:srgbClr>
                        </a:clrFrom>
                        <a:clrTo>
                          <a:srgbClr val="FFFFFF">
                            <a:alpha val="100000"/>
                            <a:alpha val="0"/>
                          </a:srgbClr>
                        </a:clrTo>
                      </a:clrChange>
                    </a:blip>
                    <a:stretch>
                      <a:fillRect/>
                    </a:stretch>
                  </pic:blipFill>
                  <pic:spPr>
                    <a:xfrm>
                      <a:off x="0" y="0"/>
                      <a:ext cx="938530" cy="938530"/>
                    </a:xfrm>
                    <a:prstGeom prst="rect">
                      <a:avLst/>
                    </a:prstGeom>
                  </pic:spPr>
                </pic:pic>
              </a:graphicData>
            </a:graphic>
          </wp:anchor>
        </w:drawing>
      </w:r>
    </w:p>
    <w:p>
      <w:pPr>
        <w:spacing w:line="400" w:lineRule="exact"/>
        <w:jc w:val="center"/>
        <w:rPr>
          <w:rFonts w:hint="eastAsia" w:asciiTheme="minorEastAsia" w:hAnsiTheme="minorEastAsia"/>
          <w:b/>
          <w:color w:val="000000"/>
          <w:sz w:val="36"/>
          <w:szCs w:val="36"/>
        </w:rPr>
      </w:pPr>
    </w:p>
    <w:p>
      <w:pPr>
        <w:spacing w:line="400" w:lineRule="exact"/>
        <w:jc w:val="center"/>
        <w:rPr>
          <w:rFonts w:hint="eastAsia" w:asciiTheme="minorEastAsia" w:hAnsiTheme="minorEastAsia"/>
          <w:b/>
          <w:color w:val="000000"/>
          <w:sz w:val="36"/>
          <w:szCs w:val="36"/>
        </w:rPr>
      </w:pPr>
    </w:p>
    <w:p>
      <w:pPr>
        <w:spacing w:before="178" w:line="219" w:lineRule="auto"/>
        <w:jc w:val="center"/>
        <w:outlineLvl w:val="9"/>
        <w:rPr>
          <w:rFonts w:ascii="宋体" w:hAnsi="宋体" w:eastAsia="宋体" w:cs="宋体"/>
          <w:sz w:val="55"/>
          <w:szCs w:val="55"/>
        </w:rPr>
      </w:pPr>
      <w:r>
        <w:rPr>
          <w:rFonts w:hint="eastAsia" w:ascii="宋体" w:hAnsi="宋体" w:eastAsia="宋体" w:cs="宋体"/>
          <w:b/>
          <w:bCs/>
          <w:spacing w:val="1"/>
          <w:sz w:val="55"/>
          <w:szCs w:val="55"/>
          <w:lang w:val="en-US" w:eastAsia="zh-CN"/>
        </w:rPr>
        <w:t>智能制造</w:t>
      </w:r>
      <w:r>
        <w:rPr>
          <w:rFonts w:ascii="宋体" w:hAnsi="宋体" w:eastAsia="宋体" w:cs="宋体"/>
          <w:b/>
          <w:bCs/>
          <w:spacing w:val="1"/>
          <w:sz w:val="55"/>
          <w:szCs w:val="55"/>
        </w:rPr>
        <w:t>技术专业群</w:t>
      </w:r>
    </w:p>
    <w:p>
      <w:pPr>
        <w:spacing w:before="178" w:line="219" w:lineRule="auto"/>
        <w:jc w:val="center"/>
        <w:outlineLvl w:val="9"/>
        <w:rPr>
          <w:rFonts w:hint="eastAsia" w:ascii="宋体" w:hAnsi="宋体" w:eastAsia="宋体" w:cs="宋体"/>
          <w:b/>
          <w:bCs/>
          <w:spacing w:val="1"/>
          <w:sz w:val="55"/>
          <w:szCs w:val="55"/>
          <w:lang w:val="en-US" w:eastAsia="zh-CN"/>
        </w:rPr>
      </w:pPr>
      <w:r>
        <w:rPr>
          <w:rFonts w:hint="eastAsia" w:ascii="宋体" w:hAnsi="宋体" w:eastAsia="宋体" w:cs="宋体"/>
          <w:b/>
          <w:bCs/>
          <w:spacing w:val="1"/>
          <w:sz w:val="55"/>
          <w:szCs w:val="55"/>
          <w:lang w:val="en-US" w:eastAsia="zh-CN"/>
        </w:rPr>
        <w:t>五年一贯制电气自动化技术专业</w:t>
      </w:r>
    </w:p>
    <w:p>
      <w:pPr>
        <w:spacing w:before="304" w:line="219" w:lineRule="auto"/>
        <w:jc w:val="center"/>
        <w:outlineLvl w:val="9"/>
        <w:rPr>
          <w:rFonts w:ascii="宋体" w:hAnsi="宋体" w:eastAsia="宋体" w:cs="宋体"/>
          <w:sz w:val="55"/>
          <w:szCs w:val="55"/>
        </w:rPr>
      </w:pPr>
      <w:r>
        <w:rPr>
          <w:rFonts w:ascii="宋体" w:hAnsi="宋体" w:eastAsia="宋体" w:cs="宋体"/>
          <w:b/>
          <w:bCs/>
          <w:spacing w:val="-10"/>
          <w:sz w:val="55"/>
          <w:szCs w:val="55"/>
        </w:rPr>
        <w:t>人才培养方案</w:t>
      </w:r>
    </w:p>
    <w:p>
      <w:pPr>
        <w:spacing w:line="400" w:lineRule="exact"/>
        <w:jc w:val="center"/>
        <w:rPr>
          <w:rFonts w:asciiTheme="minorEastAsia" w:hAnsiTheme="minorEastAsia"/>
          <w:b/>
          <w:color w:val="000000"/>
          <w:sz w:val="36"/>
          <w:szCs w:val="36"/>
        </w:rPr>
      </w:pPr>
      <w:r>
        <w:rPr>
          <w:rFonts w:ascii="宋体" w:hAnsi="宋体" w:eastAsia="宋体" w:cs="宋体"/>
          <w:spacing w:val="-1"/>
          <w:sz w:val="35"/>
          <w:szCs w:val="35"/>
        </w:rPr>
        <w:t>(202</w:t>
      </w:r>
      <w:r>
        <w:rPr>
          <w:rFonts w:hint="eastAsia" w:ascii="宋体" w:hAnsi="宋体" w:eastAsia="宋体" w:cs="宋体"/>
          <w:spacing w:val="-1"/>
          <w:sz w:val="35"/>
          <w:szCs w:val="35"/>
          <w:lang w:val="en-US" w:eastAsia="zh-CN"/>
        </w:rPr>
        <w:t>3</w:t>
      </w:r>
      <w:r>
        <w:rPr>
          <w:rFonts w:ascii="宋体" w:hAnsi="宋体" w:eastAsia="宋体" w:cs="宋体"/>
          <w:spacing w:val="-1"/>
          <w:sz w:val="35"/>
          <w:szCs w:val="35"/>
        </w:rPr>
        <w:t>版)</w:t>
      </w:r>
    </w:p>
    <w:p>
      <w:pPr>
        <w:spacing w:line="400" w:lineRule="exact"/>
        <w:jc w:val="center"/>
        <w:rPr>
          <w:rFonts w:hint="eastAsia" w:asciiTheme="minorEastAsia" w:hAnsiTheme="minorEastAsia"/>
          <w:b/>
          <w:color w:val="000000"/>
          <w:sz w:val="36"/>
          <w:szCs w:val="36"/>
        </w:rPr>
      </w:pPr>
    </w:p>
    <w:p>
      <w:pPr>
        <w:spacing w:line="400" w:lineRule="exact"/>
        <w:jc w:val="center"/>
        <w:rPr>
          <w:rFonts w:hint="eastAsia" w:asciiTheme="minorEastAsia" w:hAnsiTheme="minorEastAsia"/>
          <w:b/>
          <w:color w:val="000000"/>
          <w:sz w:val="36"/>
          <w:szCs w:val="36"/>
        </w:rPr>
      </w:pPr>
    </w:p>
    <w:p>
      <w:pPr>
        <w:spacing w:line="400" w:lineRule="exact"/>
        <w:jc w:val="center"/>
        <w:rPr>
          <w:rFonts w:hint="eastAsia" w:asciiTheme="minorEastAsia" w:hAnsiTheme="minorEastAsia"/>
          <w:b/>
          <w:color w:val="000000"/>
          <w:sz w:val="36"/>
          <w:szCs w:val="36"/>
        </w:rPr>
      </w:pPr>
    </w:p>
    <w:p>
      <w:pPr>
        <w:spacing w:line="400" w:lineRule="exact"/>
        <w:jc w:val="center"/>
        <w:rPr>
          <w:rFonts w:hint="eastAsia" w:asciiTheme="minorEastAsia" w:hAnsiTheme="minorEastAsia"/>
          <w:b/>
          <w:color w:val="000000"/>
          <w:sz w:val="36"/>
          <w:szCs w:val="36"/>
        </w:rPr>
      </w:pPr>
    </w:p>
    <w:p>
      <w:pPr>
        <w:spacing w:line="400" w:lineRule="exact"/>
        <w:jc w:val="center"/>
        <w:rPr>
          <w:rFonts w:hint="eastAsia" w:asciiTheme="minorEastAsia" w:hAnsiTheme="minorEastAsia"/>
          <w:b/>
          <w:color w:val="000000"/>
          <w:sz w:val="36"/>
          <w:szCs w:val="36"/>
        </w:rPr>
      </w:pPr>
    </w:p>
    <w:p>
      <w:pPr>
        <w:spacing w:line="400" w:lineRule="exact"/>
        <w:jc w:val="center"/>
        <w:rPr>
          <w:rFonts w:hint="eastAsia" w:asciiTheme="minorEastAsia" w:hAnsiTheme="minorEastAsia"/>
          <w:b/>
          <w:color w:val="000000"/>
          <w:sz w:val="36"/>
          <w:szCs w:val="36"/>
        </w:rPr>
      </w:pPr>
    </w:p>
    <w:p>
      <w:pPr>
        <w:spacing w:line="400" w:lineRule="exact"/>
        <w:jc w:val="center"/>
        <w:rPr>
          <w:rFonts w:hint="eastAsia" w:asciiTheme="minorEastAsia" w:hAnsiTheme="minorEastAsia"/>
          <w:b/>
          <w:color w:val="000000"/>
          <w:sz w:val="36"/>
          <w:szCs w:val="36"/>
        </w:rPr>
      </w:pPr>
    </w:p>
    <w:p>
      <w:pPr>
        <w:spacing w:line="400" w:lineRule="exact"/>
        <w:jc w:val="center"/>
        <w:rPr>
          <w:rFonts w:hint="eastAsia" w:asciiTheme="minorEastAsia" w:hAnsiTheme="minorEastAsia"/>
          <w:b/>
          <w:color w:val="000000"/>
          <w:sz w:val="36"/>
          <w:szCs w:val="36"/>
        </w:rPr>
      </w:pPr>
    </w:p>
    <w:p>
      <w:pPr>
        <w:spacing w:line="400" w:lineRule="exact"/>
        <w:jc w:val="center"/>
        <w:rPr>
          <w:rFonts w:hint="eastAsia" w:asciiTheme="minorEastAsia" w:hAnsiTheme="minorEastAsia"/>
          <w:b/>
          <w:color w:val="000000"/>
          <w:sz w:val="36"/>
          <w:szCs w:val="36"/>
        </w:rPr>
      </w:pPr>
    </w:p>
    <w:p>
      <w:pPr>
        <w:spacing w:line="400" w:lineRule="exact"/>
        <w:jc w:val="center"/>
        <w:rPr>
          <w:rFonts w:hint="eastAsia" w:asciiTheme="minorEastAsia" w:hAnsiTheme="minorEastAsia"/>
          <w:b/>
          <w:color w:val="000000"/>
          <w:sz w:val="36"/>
          <w:szCs w:val="36"/>
        </w:rPr>
      </w:pPr>
    </w:p>
    <w:p>
      <w:pPr>
        <w:spacing w:line="400" w:lineRule="exact"/>
        <w:jc w:val="center"/>
        <w:rPr>
          <w:rFonts w:hint="eastAsia" w:asciiTheme="minorEastAsia" w:hAnsiTheme="minorEastAsia"/>
          <w:b/>
          <w:color w:val="000000"/>
          <w:sz w:val="36"/>
          <w:szCs w:val="36"/>
        </w:rPr>
      </w:pPr>
    </w:p>
    <w:p>
      <w:pPr>
        <w:spacing w:line="400" w:lineRule="exact"/>
        <w:jc w:val="center"/>
        <w:rPr>
          <w:rFonts w:hint="eastAsia" w:asciiTheme="minorEastAsia" w:hAnsiTheme="minorEastAsia"/>
          <w:b/>
          <w:color w:val="000000"/>
          <w:sz w:val="36"/>
          <w:szCs w:val="36"/>
        </w:rPr>
      </w:pPr>
    </w:p>
    <w:p>
      <w:pPr>
        <w:spacing w:line="400" w:lineRule="exact"/>
        <w:jc w:val="both"/>
        <w:rPr>
          <w:rFonts w:hint="eastAsia" w:asciiTheme="minorEastAsia" w:hAnsiTheme="minorEastAsia"/>
          <w:b/>
          <w:color w:val="000000"/>
          <w:sz w:val="36"/>
          <w:szCs w:val="36"/>
        </w:rPr>
      </w:pPr>
    </w:p>
    <w:p>
      <w:pPr>
        <w:spacing w:line="400" w:lineRule="exact"/>
        <w:jc w:val="center"/>
        <w:rPr>
          <w:rFonts w:hint="eastAsia" w:asciiTheme="minorEastAsia" w:hAnsiTheme="minorEastAsia"/>
          <w:b/>
          <w:color w:val="000000"/>
          <w:sz w:val="36"/>
          <w:szCs w:val="36"/>
        </w:rPr>
      </w:pPr>
    </w:p>
    <w:p>
      <w:pPr>
        <w:spacing w:line="400" w:lineRule="exact"/>
        <w:jc w:val="center"/>
        <w:rPr>
          <w:rFonts w:hint="eastAsia" w:asciiTheme="minorEastAsia" w:hAnsiTheme="minorEastAsia"/>
          <w:b/>
          <w:color w:val="000000"/>
          <w:sz w:val="36"/>
          <w:szCs w:val="36"/>
        </w:rPr>
      </w:pPr>
    </w:p>
    <w:p>
      <w:pPr>
        <w:spacing w:line="400" w:lineRule="exact"/>
        <w:jc w:val="center"/>
        <w:rPr>
          <w:rFonts w:hint="eastAsia" w:asciiTheme="minorEastAsia" w:hAnsiTheme="minorEastAsia"/>
          <w:b/>
          <w:color w:val="000000"/>
          <w:sz w:val="36"/>
          <w:szCs w:val="36"/>
        </w:rPr>
      </w:pPr>
      <w:r>
        <w:rPr>
          <w:rFonts w:hint="eastAsia" w:asciiTheme="minorEastAsia" w:hAnsiTheme="minorEastAsia"/>
          <w:b/>
          <w:color w:val="000000"/>
          <w:sz w:val="36"/>
          <w:szCs w:val="36"/>
        </w:rPr>
        <w:t>南阳科技职业学院</w:t>
      </w:r>
    </w:p>
    <w:p>
      <w:pPr>
        <w:jc w:val="center"/>
        <w:rPr>
          <w:rFonts w:hint="default" w:asciiTheme="minorEastAsia" w:hAnsiTheme="minorEastAsia" w:eastAsiaTheme="minorEastAsia"/>
          <w:b/>
          <w:color w:val="000000"/>
          <w:sz w:val="36"/>
          <w:szCs w:val="36"/>
          <w:lang w:val="en-US" w:eastAsia="zh-CN"/>
        </w:rPr>
      </w:pPr>
      <w:r>
        <w:rPr>
          <w:rFonts w:hint="eastAsia" w:asciiTheme="minorEastAsia" w:hAnsiTheme="minorEastAsia"/>
          <w:b/>
          <w:color w:val="000000"/>
          <w:sz w:val="36"/>
          <w:szCs w:val="36"/>
          <w:lang w:val="en-US" w:eastAsia="zh-CN"/>
        </w:rPr>
        <w:t>2023年11月</w:t>
      </w:r>
    </w:p>
    <w:p>
      <w:pPr>
        <w:rPr>
          <w:rFonts w:hint="eastAsia" w:asciiTheme="minorEastAsia" w:hAnsiTheme="minorEastAsia"/>
          <w:b/>
          <w:color w:val="000000"/>
          <w:sz w:val="36"/>
          <w:szCs w:val="36"/>
          <w:lang w:val="en-US" w:eastAsia="zh-CN"/>
        </w:rPr>
      </w:pPr>
      <w:r>
        <w:rPr>
          <w:rFonts w:hint="eastAsia" w:asciiTheme="minorEastAsia" w:hAnsiTheme="minorEastAsia"/>
          <w:b/>
          <w:color w:val="000000"/>
          <w:sz w:val="36"/>
          <w:szCs w:val="36"/>
          <w:lang w:val="en-US" w:eastAsia="zh-CN"/>
        </w:rPr>
        <w:br w:type="page"/>
      </w:r>
    </w:p>
    <w:p>
      <w:pPr>
        <w:spacing w:line="400" w:lineRule="exact"/>
        <w:jc w:val="center"/>
        <w:outlineLvl w:val="9"/>
        <w:rPr>
          <w:rFonts w:hint="eastAsia" w:asciiTheme="minorEastAsia" w:hAnsiTheme="minorEastAsia"/>
          <w:b/>
          <w:color w:val="000000"/>
          <w:sz w:val="36"/>
          <w:szCs w:val="36"/>
          <w:lang w:val="en-US" w:eastAsia="zh-CN"/>
        </w:rPr>
      </w:pPr>
    </w:p>
    <w:p>
      <w:pPr>
        <w:spacing w:line="400" w:lineRule="exact"/>
        <w:jc w:val="center"/>
        <w:outlineLvl w:val="9"/>
        <w:rPr>
          <w:rFonts w:hint="eastAsia" w:asciiTheme="minorEastAsia" w:hAnsiTheme="minorEastAsia"/>
          <w:b/>
          <w:color w:val="000000"/>
          <w:sz w:val="36"/>
          <w:szCs w:val="36"/>
        </w:rPr>
      </w:pPr>
      <w:r>
        <w:rPr>
          <w:rFonts w:hint="eastAsia" w:asciiTheme="minorEastAsia" w:hAnsiTheme="minorEastAsia"/>
          <w:b/>
          <w:color w:val="000000"/>
          <w:sz w:val="36"/>
          <w:szCs w:val="36"/>
        </w:rPr>
        <w:t>五年一贯制电气自动化技术专业人才培养方案</w:t>
      </w:r>
    </w:p>
    <w:p>
      <w:pPr>
        <w:spacing w:line="400" w:lineRule="exact"/>
        <w:jc w:val="center"/>
        <w:outlineLvl w:val="9"/>
        <w:rPr>
          <w:rFonts w:hint="eastAsia" w:asciiTheme="minorEastAsia" w:hAnsiTheme="minorEastAsia" w:eastAsiaTheme="minorEastAsia"/>
          <w:b/>
          <w:color w:val="000000"/>
          <w:sz w:val="36"/>
          <w:szCs w:val="36"/>
          <w:lang w:eastAsia="zh-CN"/>
        </w:rPr>
      </w:pPr>
      <w:r>
        <w:rPr>
          <w:rFonts w:hint="eastAsia" w:asciiTheme="minorEastAsia" w:hAnsiTheme="minorEastAsia"/>
          <w:b/>
          <w:color w:val="000000"/>
          <w:sz w:val="36"/>
          <w:szCs w:val="36"/>
          <w:lang w:eastAsia="zh-CN"/>
        </w:rPr>
        <w:t>（</w:t>
      </w:r>
      <w:r>
        <w:rPr>
          <w:rFonts w:hint="eastAsia" w:asciiTheme="minorEastAsia" w:hAnsiTheme="minorEastAsia"/>
          <w:b/>
          <w:color w:val="000000"/>
          <w:sz w:val="36"/>
          <w:szCs w:val="36"/>
          <w:lang w:val="en-US" w:eastAsia="zh-CN"/>
        </w:rPr>
        <w:t>2023版</w:t>
      </w:r>
      <w:r>
        <w:rPr>
          <w:rFonts w:hint="eastAsia" w:asciiTheme="minorEastAsia" w:hAnsiTheme="minorEastAsia"/>
          <w:b/>
          <w:color w:val="000000"/>
          <w:sz w:val="36"/>
          <w:szCs w:val="36"/>
          <w:lang w:eastAsia="zh-CN"/>
        </w:rPr>
        <w:t>）</w:t>
      </w:r>
    </w:p>
    <w:p>
      <w:pPr>
        <w:spacing w:beforeLines="50" w:line="400" w:lineRule="exact"/>
        <w:outlineLvl w:val="0"/>
        <w:rPr>
          <w:rFonts w:asciiTheme="minorEastAsia" w:hAnsiTheme="minorEastAsia"/>
          <w:b/>
          <w:sz w:val="28"/>
          <w:szCs w:val="28"/>
        </w:rPr>
      </w:pPr>
      <w:r>
        <w:rPr>
          <w:rFonts w:hint="eastAsia" w:asciiTheme="minorEastAsia" w:hAnsiTheme="minorEastAsia"/>
          <w:b/>
          <w:sz w:val="28"/>
          <w:szCs w:val="28"/>
        </w:rPr>
        <w:t>一、</w:t>
      </w:r>
      <w:r>
        <w:rPr>
          <w:rFonts w:hint="eastAsia" w:asciiTheme="minorEastAsia" w:hAnsiTheme="minorEastAsia"/>
          <w:b/>
          <w:sz w:val="28"/>
          <w:szCs w:val="28"/>
          <w:lang w:val="en-US" w:eastAsia="zh-CN"/>
        </w:rPr>
        <w:t>专业标准</w:t>
      </w:r>
      <w:r>
        <w:rPr>
          <w:rFonts w:hint="eastAsia" w:asciiTheme="minorEastAsia" w:hAnsiTheme="minorEastAsia"/>
          <w:b/>
          <w:sz w:val="28"/>
          <w:szCs w:val="28"/>
        </w:rPr>
        <w:t xml:space="preserve">                      </w:t>
      </w:r>
    </w:p>
    <w:p>
      <w:pPr>
        <w:numPr>
          <w:ilvl w:val="0"/>
          <w:numId w:val="1"/>
        </w:numPr>
        <w:spacing w:beforeLines="50" w:line="400" w:lineRule="exact"/>
        <w:outlineLvl w:val="1"/>
        <w:rPr>
          <w:rFonts w:hint="eastAsia" w:asciiTheme="minorEastAsia" w:hAnsiTheme="minorEastAsia"/>
          <w:sz w:val="28"/>
          <w:szCs w:val="28"/>
        </w:rPr>
      </w:pPr>
      <w:r>
        <w:rPr>
          <w:rFonts w:hint="eastAsia" w:asciiTheme="minorEastAsia" w:hAnsiTheme="minorEastAsia"/>
          <w:b/>
          <w:bCs/>
          <w:sz w:val="28"/>
          <w:szCs w:val="28"/>
        </w:rPr>
        <w:t>专业名称</w:t>
      </w:r>
    </w:p>
    <w:p>
      <w:pPr>
        <w:numPr>
          <w:ilvl w:val="0"/>
          <w:numId w:val="0"/>
        </w:numPr>
        <w:spacing w:beforeLines="50" w:line="400" w:lineRule="exact"/>
        <w:rPr>
          <w:rFonts w:asciiTheme="minorEastAsia" w:hAnsiTheme="minorEastAsia"/>
          <w:sz w:val="28"/>
          <w:szCs w:val="28"/>
        </w:rPr>
      </w:pPr>
      <w:r>
        <w:rPr>
          <w:rFonts w:hint="eastAsia" w:asciiTheme="minorEastAsia" w:hAnsiTheme="minorEastAsia"/>
          <w:sz w:val="28"/>
          <w:szCs w:val="28"/>
        </w:rPr>
        <w:t xml:space="preserve">电气自动化技术                                            </w:t>
      </w:r>
    </w:p>
    <w:p>
      <w:pPr>
        <w:numPr>
          <w:ilvl w:val="0"/>
          <w:numId w:val="1"/>
        </w:numPr>
        <w:spacing w:beforeLines="50" w:line="400" w:lineRule="exact"/>
        <w:ind w:left="0" w:leftChars="0" w:firstLine="0" w:firstLineChars="0"/>
        <w:outlineLvl w:val="1"/>
        <w:rPr>
          <w:rFonts w:hint="eastAsia" w:asciiTheme="minorEastAsia" w:hAnsiTheme="minorEastAsia"/>
          <w:b/>
          <w:bCs/>
          <w:sz w:val="28"/>
          <w:szCs w:val="28"/>
        </w:rPr>
      </w:pPr>
      <w:r>
        <w:rPr>
          <w:rFonts w:hint="eastAsia" w:asciiTheme="minorEastAsia" w:hAnsiTheme="minorEastAsia"/>
          <w:b/>
          <w:bCs/>
          <w:sz w:val="28"/>
          <w:szCs w:val="28"/>
        </w:rPr>
        <w:t>专业代码</w:t>
      </w:r>
    </w:p>
    <w:p>
      <w:pPr>
        <w:numPr>
          <w:ilvl w:val="0"/>
          <w:numId w:val="0"/>
        </w:numPr>
        <w:spacing w:beforeLines="50" w:line="400" w:lineRule="exact"/>
        <w:ind w:leftChars="0"/>
        <w:rPr>
          <w:rFonts w:asciiTheme="minorEastAsia" w:hAnsiTheme="minorEastAsia"/>
          <w:sz w:val="28"/>
          <w:szCs w:val="28"/>
        </w:rPr>
      </w:pPr>
      <w:r>
        <w:rPr>
          <w:rFonts w:hint="eastAsia" w:asciiTheme="minorEastAsia" w:hAnsiTheme="minorEastAsia"/>
          <w:sz w:val="28"/>
          <w:szCs w:val="28"/>
        </w:rPr>
        <w:t>460306</w:t>
      </w:r>
    </w:p>
    <w:p>
      <w:pPr>
        <w:spacing w:beforeLines="50" w:line="400" w:lineRule="exact"/>
        <w:outlineLvl w:val="1"/>
        <w:rPr>
          <w:rFonts w:hint="default" w:asciiTheme="minorEastAsia" w:hAnsiTheme="minorEastAsia" w:eastAsiaTheme="minorEastAsia"/>
          <w:b/>
          <w:bCs w:val="0"/>
          <w:sz w:val="28"/>
          <w:szCs w:val="28"/>
          <w:lang w:val="en-US" w:eastAsia="zh-CN"/>
        </w:rPr>
      </w:pPr>
      <w:r>
        <w:rPr>
          <w:rFonts w:hint="eastAsia" w:asciiTheme="minorEastAsia" w:hAnsiTheme="minorEastAsia"/>
          <w:b/>
          <w:bCs w:val="0"/>
          <w:sz w:val="28"/>
          <w:szCs w:val="28"/>
          <w:lang w:val="en-US" w:eastAsia="zh-CN"/>
        </w:rPr>
        <w:t>（三）招生对象</w:t>
      </w:r>
    </w:p>
    <w:p>
      <w:pPr>
        <w:spacing w:beforeLines="50" w:line="400" w:lineRule="exact"/>
        <w:rPr>
          <w:rFonts w:asciiTheme="minorEastAsia" w:hAnsiTheme="minorEastAsia"/>
          <w:sz w:val="28"/>
          <w:szCs w:val="28"/>
        </w:rPr>
      </w:pPr>
      <w:r>
        <w:rPr>
          <w:rFonts w:hint="eastAsia" w:asciiTheme="minorEastAsia" w:hAnsiTheme="minorEastAsia"/>
          <w:sz w:val="28"/>
          <w:szCs w:val="28"/>
        </w:rPr>
        <w:t>普通初级中学毕业，或具备同等学力。</w:t>
      </w:r>
    </w:p>
    <w:p>
      <w:pPr>
        <w:spacing w:beforeLines="50" w:line="400" w:lineRule="exact"/>
        <w:outlineLvl w:val="1"/>
        <w:rPr>
          <w:rFonts w:hint="default" w:asciiTheme="minorEastAsia" w:hAnsiTheme="minorEastAsia" w:eastAsiaTheme="minorEastAsia"/>
          <w:b/>
          <w:bCs w:val="0"/>
          <w:sz w:val="28"/>
          <w:szCs w:val="28"/>
          <w:lang w:val="en-US" w:eastAsia="zh-CN"/>
        </w:rPr>
      </w:pPr>
      <w:r>
        <w:rPr>
          <w:rFonts w:hint="eastAsia" w:asciiTheme="minorEastAsia" w:hAnsiTheme="minorEastAsia"/>
          <w:b/>
          <w:bCs w:val="0"/>
          <w:sz w:val="28"/>
          <w:szCs w:val="28"/>
          <w:lang w:eastAsia="zh-CN"/>
        </w:rPr>
        <w:t>（</w:t>
      </w:r>
      <w:r>
        <w:rPr>
          <w:rFonts w:hint="eastAsia" w:asciiTheme="minorEastAsia" w:hAnsiTheme="minorEastAsia"/>
          <w:b/>
          <w:bCs w:val="0"/>
          <w:sz w:val="28"/>
          <w:szCs w:val="28"/>
          <w:lang w:val="en-US" w:eastAsia="zh-CN"/>
        </w:rPr>
        <w:t>四</w:t>
      </w:r>
      <w:r>
        <w:rPr>
          <w:rFonts w:hint="eastAsia" w:asciiTheme="minorEastAsia" w:hAnsiTheme="minorEastAsia"/>
          <w:b/>
          <w:bCs w:val="0"/>
          <w:sz w:val="28"/>
          <w:szCs w:val="28"/>
          <w:lang w:eastAsia="zh-CN"/>
        </w:rPr>
        <w:t>）</w:t>
      </w:r>
      <w:r>
        <w:rPr>
          <w:rFonts w:hint="eastAsia" w:asciiTheme="minorEastAsia" w:hAnsiTheme="minorEastAsia"/>
          <w:b/>
          <w:bCs w:val="0"/>
          <w:sz w:val="28"/>
          <w:szCs w:val="28"/>
          <w:lang w:val="en-US" w:eastAsia="zh-CN"/>
        </w:rPr>
        <w:t>学制学历</w:t>
      </w:r>
    </w:p>
    <w:p>
      <w:pPr>
        <w:spacing w:beforeLines="50" w:line="400" w:lineRule="exact"/>
        <w:rPr>
          <w:rFonts w:asciiTheme="minorEastAsia" w:hAnsiTheme="minorEastAsia"/>
          <w:sz w:val="28"/>
          <w:szCs w:val="28"/>
        </w:rPr>
      </w:pPr>
      <w:r>
        <w:rPr>
          <w:rFonts w:hint="eastAsia" w:asciiTheme="minorEastAsia" w:hAnsiTheme="minorEastAsia"/>
          <w:sz w:val="28"/>
          <w:szCs w:val="28"/>
        </w:rPr>
        <w:t>学制：五年</w:t>
      </w:r>
    </w:p>
    <w:p>
      <w:pPr>
        <w:spacing w:beforeLines="50" w:line="400" w:lineRule="exact"/>
        <w:rPr>
          <w:rFonts w:hint="eastAsia" w:asciiTheme="minorEastAsia" w:hAnsiTheme="minorEastAsia"/>
          <w:sz w:val="28"/>
          <w:szCs w:val="28"/>
        </w:rPr>
      </w:pPr>
      <w:r>
        <w:rPr>
          <w:rFonts w:hint="eastAsia" w:asciiTheme="minorEastAsia" w:hAnsiTheme="minorEastAsia"/>
          <w:sz w:val="28"/>
          <w:szCs w:val="28"/>
        </w:rPr>
        <w:t>学历：大专</w:t>
      </w:r>
    </w:p>
    <w:p>
      <w:pPr>
        <w:spacing w:beforeLines="50" w:line="400" w:lineRule="exact"/>
        <w:outlineLvl w:val="1"/>
        <w:rPr>
          <w:rFonts w:hint="eastAsia" w:asciiTheme="minorEastAsia" w:hAnsiTheme="minorEastAsia"/>
          <w:b/>
          <w:bCs w:val="0"/>
          <w:sz w:val="28"/>
          <w:szCs w:val="28"/>
          <w:lang w:val="en-US" w:eastAsia="zh-CN"/>
        </w:rPr>
      </w:pPr>
      <w:r>
        <w:rPr>
          <w:rFonts w:hint="eastAsia" w:asciiTheme="minorEastAsia" w:hAnsiTheme="minorEastAsia"/>
          <w:b/>
          <w:bCs w:val="0"/>
          <w:sz w:val="28"/>
          <w:szCs w:val="28"/>
          <w:lang w:val="en-US" w:eastAsia="zh-CN"/>
        </w:rPr>
        <w:t>（五）专业目标</w:t>
      </w:r>
    </w:p>
    <w:p>
      <w:pPr>
        <w:spacing w:before="112" w:line="311" w:lineRule="auto"/>
        <w:ind w:right="175" w:firstLine="520"/>
        <w:jc w:val="both"/>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本专业培养拥护中国共产党的领导，拥护社会主义制度，理想信念坚定，德智体美劳全面发展，具有扎实的科学文化水平，良好的人文素养、职业道德和创新意识，工匠精神，较强的就业能力和可持续发展能力的社会主义建设者与接班人。</w:t>
      </w:r>
    </w:p>
    <w:p>
      <w:pPr>
        <w:spacing w:before="112" w:line="311" w:lineRule="auto"/>
        <w:ind w:right="175" w:firstLine="520"/>
        <w:jc w:val="both"/>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本专业深化产教融合、校企合作，以校企共建产业学院、产教融合实训基地、技术服务创新平台为抓手，推进个性化人才培养教学模式改革，主动对接职业技能等级证书，以人才培养和职业培训为目标，深化教师、教材、教法改革，构建“大师领衔、专兼结合”的双师素质教师团队，力争把</w:t>
      </w:r>
      <w:r>
        <w:rPr>
          <w:rFonts w:hint="eastAsia" w:ascii="宋体" w:hAnsi="宋体" w:eastAsia="宋体" w:cs="宋体"/>
          <w:spacing w:val="-3"/>
          <w:sz w:val="28"/>
          <w:szCs w:val="28"/>
          <w:lang w:val="en-US" w:eastAsia="zh-CN"/>
        </w:rPr>
        <w:t>电气自动化技术</w:t>
      </w:r>
      <w:r>
        <w:rPr>
          <w:rFonts w:hint="eastAsia" w:ascii="宋体" w:hAnsi="宋体" w:eastAsia="宋体" w:cs="宋体"/>
          <w:spacing w:val="-3"/>
          <w:sz w:val="28"/>
          <w:szCs w:val="28"/>
          <w:lang w:eastAsia="zh-CN"/>
        </w:rPr>
        <w:t>专业建设成为省内领先、国内一流的高水平专业。</w:t>
      </w:r>
    </w:p>
    <w:p>
      <w:pPr>
        <w:spacing w:before="167" w:line="225" w:lineRule="auto"/>
        <w:outlineLvl w:val="1"/>
        <w:rPr>
          <w:rFonts w:ascii="楷体" w:hAnsi="楷体" w:eastAsia="楷体" w:cs="楷体"/>
          <w:b/>
          <w:bCs/>
          <w:spacing w:val="20"/>
          <w:sz w:val="31"/>
          <w:szCs w:val="31"/>
        </w:rPr>
      </w:pPr>
      <w:r>
        <w:rPr>
          <w:rFonts w:hint="eastAsia" w:asciiTheme="minorEastAsia" w:hAnsiTheme="minorEastAsia"/>
          <w:b/>
          <w:bCs w:val="0"/>
          <w:sz w:val="28"/>
          <w:szCs w:val="28"/>
          <w:lang w:val="en-US" w:eastAsia="zh-CN"/>
        </w:rPr>
        <w:t>（六）专业定位</w:t>
      </w:r>
    </w:p>
    <w:p>
      <w:pPr>
        <w:spacing w:before="112" w:line="311" w:lineRule="auto"/>
        <w:ind w:right="175" w:firstLine="520"/>
        <w:jc w:val="both"/>
        <w:rPr>
          <w:rFonts w:hint="eastAsia" w:ascii="宋体" w:hAnsi="宋体" w:eastAsia="宋体" w:cs="宋体"/>
          <w:spacing w:val="-3"/>
          <w:sz w:val="28"/>
          <w:szCs w:val="28"/>
          <w:lang w:eastAsia="zh-CN"/>
        </w:rPr>
      </w:pPr>
      <w:r>
        <w:rPr>
          <w:rFonts w:hint="eastAsia" w:ascii="宋体" w:hAnsi="宋体" w:eastAsia="宋体" w:cs="宋体"/>
          <w:spacing w:val="-3"/>
          <w:sz w:val="28"/>
          <w:szCs w:val="28"/>
          <w:lang w:val="en-US" w:eastAsia="zh-CN"/>
        </w:rPr>
        <w:t>电气自动化技术</w:t>
      </w:r>
      <w:r>
        <w:rPr>
          <w:rFonts w:hint="eastAsia" w:ascii="宋体" w:hAnsi="宋体" w:eastAsia="宋体" w:cs="宋体"/>
          <w:spacing w:val="-3"/>
          <w:sz w:val="28"/>
          <w:szCs w:val="28"/>
          <w:lang w:eastAsia="zh-CN"/>
        </w:rPr>
        <w:t>专业隶属于</w:t>
      </w:r>
      <w:r>
        <w:rPr>
          <w:rFonts w:hint="eastAsia" w:ascii="宋体" w:hAnsi="宋体" w:eastAsia="宋体" w:cs="宋体"/>
          <w:spacing w:val="-3"/>
          <w:sz w:val="28"/>
          <w:szCs w:val="28"/>
          <w:lang w:val="en-US" w:eastAsia="zh-CN"/>
        </w:rPr>
        <w:t>智能制造</w:t>
      </w:r>
      <w:r>
        <w:rPr>
          <w:rFonts w:hint="eastAsia" w:ascii="宋体" w:hAnsi="宋体" w:eastAsia="宋体" w:cs="宋体"/>
          <w:spacing w:val="-3"/>
          <w:sz w:val="28"/>
          <w:szCs w:val="28"/>
          <w:lang w:eastAsia="zh-CN"/>
        </w:rPr>
        <w:t>技术专业群，本专业群共有五个专业，</w:t>
      </w:r>
      <w:r>
        <w:rPr>
          <w:rFonts w:hint="eastAsia" w:ascii="宋体" w:hAnsi="宋体" w:eastAsia="宋体" w:cs="宋体"/>
          <w:spacing w:val="-3"/>
          <w:sz w:val="28"/>
          <w:szCs w:val="28"/>
          <w:lang w:val="en-US" w:eastAsia="zh-CN"/>
        </w:rPr>
        <w:t>电气自动化技术</w:t>
      </w:r>
      <w:r>
        <w:rPr>
          <w:rFonts w:hint="eastAsia" w:ascii="宋体" w:hAnsi="宋体" w:eastAsia="宋体" w:cs="宋体"/>
          <w:spacing w:val="-3"/>
          <w:sz w:val="28"/>
          <w:szCs w:val="28"/>
          <w:lang w:eastAsia="zh-CN"/>
        </w:rPr>
        <w:t>专业处于</w:t>
      </w:r>
      <w:r>
        <w:rPr>
          <w:rFonts w:hint="eastAsia" w:ascii="宋体" w:hAnsi="宋体" w:eastAsia="宋体" w:cs="宋体"/>
          <w:spacing w:val="-3"/>
          <w:sz w:val="28"/>
          <w:szCs w:val="28"/>
          <w:lang w:val="en-US" w:eastAsia="zh-CN"/>
        </w:rPr>
        <w:t>智能制造</w:t>
      </w:r>
      <w:r>
        <w:rPr>
          <w:rFonts w:hint="eastAsia" w:ascii="宋体" w:hAnsi="宋体" w:eastAsia="宋体" w:cs="宋体"/>
          <w:spacing w:val="-3"/>
          <w:sz w:val="28"/>
          <w:szCs w:val="28"/>
          <w:lang w:eastAsia="zh-CN"/>
        </w:rPr>
        <w:t>技术专业群的核心地位。</w:t>
      </w:r>
    </w:p>
    <w:p>
      <w:pPr>
        <w:spacing w:before="112" w:line="311" w:lineRule="auto"/>
        <w:ind w:right="175"/>
        <w:jc w:val="both"/>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本专业依照</w:t>
      </w:r>
      <w:r>
        <w:rPr>
          <w:rFonts w:hint="eastAsia" w:ascii="宋体" w:hAnsi="宋体" w:eastAsia="宋体" w:cs="宋体"/>
          <w:spacing w:val="-3"/>
          <w:sz w:val="28"/>
          <w:szCs w:val="28"/>
          <w:lang w:val="en-US" w:eastAsia="zh-CN"/>
        </w:rPr>
        <w:t>电气自动化技术</w:t>
      </w:r>
      <w:r>
        <w:rPr>
          <w:rFonts w:hint="eastAsia" w:ascii="宋体" w:hAnsi="宋体" w:eastAsia="宋体" w:cs="宋体"/>
          <w:spacing w:val="-3"/>
          <w:sz w:val="28"/>
          <w:szCs w:val="28"/>
          <w:lang w:eastAsia="zh-CN"/>
        </w:rPr>
        <w:t>与制造行业发展的人才需求，立足河南辐射周边，培养</w:t>
      </w:r>
      <w:r>
        <w:rPr>
          <w:rFonts w:hint="eastAsia" w:ascii="宋体" w:hAnsi="宋体" w:eastAsia="宋体" w:cs="宋体"/>
          <w:spacing w:val="-3"/>
          <w:sz w:val="28"/>
          <w:szCs w:val="28"/>
          <w:lang w:val="en-US" w:eastAsia="zh-CN"/>
        </w:rPr>
        <w:t>电气自动化</w:t>
      </w:r>
      <w:r>
        <w:rPr>
          <w:rFonts w:hint="eastAsia" w:ascii="宋体" w:hAnsi="宋体" w:eastAsia="宋体" w:cs="宋体"/>
          <w:spacing w:val="-3"/>
          <w:sz w:val="28"/>
          <w:szCs w:val="28"/>
          <w:lang w:eastAsia="zh-CN"/>
        </w:rPr>
        <w:t>与制造生产、技术服务一线技术骨干和管理人才，为河南</w:t>
      </w:r>
      <w:r>
        <w:rPr>
          <w:rFonts w:hint="eastAsia" w:ascii="宋体" w:hAnsi="宋体" w:eastAsia="宋体" w:cs="宋体"/>
          <w:spacing w:val="-3"/>
          <w:sz w:val="28"/>
          <w:szCs w:val="28"/>
          <w:lang w:val="en-US" w:eastAsia="zh-CN"/>
        </w:rPr>
        <w:t>电气自动化</w:t>
      </w:r>
      <w:r>
        <w:rPr>
          <w:rFonts w:hint="eastAsia" w:ascii="宋体" w:hAnsi="宋体" w:eastAsia="宋体" w:cs="宋体"/>
          <w:spacing w:val="-3"/>
          <w:sz w:val="28"/>
          <w:szCs w:val="28"/>
          <w:lang w:eastAsia="zh-CN"/>
        </w:rPr>
        <w:t>与制造行业输送合格的高素质技术技能人才，使</w:t>
      </w:r>
      <w:r>
        <w:rPr>
          <w:rFonts w:hint="eastAsia" w:ascii="宋体" w:hAnsi="宋体" w:eastAsia="宋体" w:cs="宋体"/>
          <w:spacing w:val="-3"/>
          <w:sz w:val="28"/>
          <w:szCs w:val="28"/>
          <w:lang w:val="en-US" w:eastAsia="zh-CN"/>
        </w:rPr>
        <w:t>电气自动化与制造</w:t>
      </w:r>
      <w:r>
        <w:rPr>
          <w:rFonts w:hint="eastAsia" w:ascii="宋体" w:hAnsi="宋体" w:eastAsia="宋体" w:cs="宋体"/>
          <w:spacing w:val="-3"/>
          <w:sz w:val="28"/>
          <w:szCs w:val="28"/>
          <w:lang w:eastAsia="zh-CN"/>
        </w:rPr>
        <w:t>技术专业成为适应</w:t>
      </w:r>
      <w:r>
        <w:rPr>
          <w:rFonts w:hint="eastAsia" w:ascii="宋体" w:hAnsi="宋体" w:eastAsia="宋体" w:cs="宋体"/>
          <w:spacing w:val="-3"/>
          <w:sz w:val="28"/>
          <w:szCs w:val="28"/>
          <w:lang w:val="en-US" w:eastAsia="zh-CN"/>
        </w:rPr>
        <w:t>电气自动化</w:t>
      </w:r>
      <w:r>
        <w:rPr>
          <w:rFonts w:hint="eastAsia" w:ascii="宋体" w:hAnsi="宋体" w:eastAsia="宋体" w:cs="宋体"/>
          <w:spacing w:val="-3"/>
          <w:sz w:val="28"/>
          <w:szCs w:val="28"/>
          <w:lang w:eastAsia="zh-CN"/>
        </w:rPr>
        <w:t>与制造行业发展需要的特色专业。</w:t>
      </w:r>
    </w:p>
    <w:p>
      <w:pPr>
        <w:spacing w:before="167" w:line="225" w:lineRule="auto"/>
        <w:outlineLvl w:val="1"/>
        <w:rPr>
          <w:rFonts w:hint="eastAsia" w:asciiTheme="minorEastAsia" w:hAnsiTheme="minorEastAsia"/>
          <w:b/>
          <w:bCs w:val="0"/>
          <w:sz w:val="28"/>
          <w:szCs w:val="28"/>
          <w:lang w:val="en-US" w:eastAsia="zh-CN"/>
        </w:rPr>
      </w:pPr>
      <w:r>
        <w:rPr>
          <w:rFonts w:hint="eastAsia" w:asciiTheme="minorEastAsia" w:hAnsiTheme="minorEastAsia"/>
          <w:b/>
          <w:bCs w:val="0"/>
          <w:sz w:val="28"/>
          <w:szCs w:val="28"/>
          <w:lang w:val="en-US" w:eastAsia="zh-CN"/>
        </w:rPr>
        <w:t>（七）核心岗位和相关岗位群</w:t>
      </w:r>
    </w:p>
    <w:p>
      <w:pPr>
        <w:spacing w:before="112" w:line="311" w:lineRule="auto"/>
        <w:ind w:right="175" w:firstLine="520"/>
        <w:jc w:val="both"/>
        <w:rPr>
          <w:rFonts w:hint="eastAsia" w:ascii="宋体" w:hAnsi="宋体" w:eastAsia="宋体" w:cs="宋体"/>
          <w:spacing w:val="-3"/>
          <w:sz w:val="28"/>
          <w:szCs w:val="28"/>
          <w:lang w:eastAsia="zh-CN"/>
        </w:rPr>
      </w:pPr>
      <w:r>
        <w:rPr>
          <w:rFonts w:hint="eastAsia" w:ascii="宋体" w:hAnsi="宋体" w:eastAsia="宋体" w:cs="宋体"/>
          <w:spacing w:val="-3"/>
          <w:sz w:val="28"/>
          <w:szCs w:val="28"/>
          <w:lang w:val="en-US" w:eastAsia="zh-CN"/>
        </w:rPr>
        <w:t>电气自动化</w:t>
      </w:r>
      <w:r>
        <w:rPr>
          <w:rFonts w:hint="eastAsia" w:ascii="宋体" w:hAnsi="宋体" w:eastAsia="宋体" w:cs="宋体"/>
          <w:spacing w:val="-3"/>
          <w:sz w:val="28"/>
          <w:szCs w:val="28"/>
          <w:lang w:eastAsia="zh-CN"/>
        </w:rPr>
        <w:t>技术专业核心岗位有：绘产品检验技术员、设备维护员、系统安装与调试技术员、产品开发与设计师等。</w:t>
      </w:r>
    </w:p>
    <w:p>
      <w:pPr>
        <w:spacing w:beforeLines="50" w:line="400" w:lineRule="exact"/>
        <w:rPr>
          <w:rFonts w:hint="eastAsia" w:ascii="宋体" w:hAnsi="宋体" w:eastAsia="宋体" w:cs="宋体"/>
          <w:spacing w:val="-3"/>
          <w:sz w:val="28"/>
          <w:szCs w:val="28"/>
          <w:lang w:val="en-US" w:eastAsia="zh-CN"/>
        </w:rPr>
      </w:pPr>
      <w:r>
        <w:rPr>
          <w:rFonts w:hint="eastAsia" w:ascii="宋体" w:hAnsi="宋体" w:eastAsia="宋体" w:cs="宋体"/>
          <w:spacing w:val="-3"/>
          <w:sz w:val="28"/>
          <w:szCs w:val="28"/>
          <w:lang w:eastAsia="zh-CN"/>
        </w:rPr>
        <w:t>相关岗位群有：机电一体化设备的安装、调试技术员；机电一体化设备的维护、维修技术员；工业机器人的维护、编程应用技术员；机电一体化设备的销售员及售后服务技术员</w:t>
      </w:r>
      <w:r>
        <w:rPr>
          <w:rFonts w:hint="eastAsia" w:ascii="宋体" w:hAnsi="宋体" w:eastAsia="宋体" w:cs="宋体"/>
          <w:spacing w:val="-3"/>
          <w:sz w:val="28"/>
          <w:szCs w:val="28"/>
          <w:lang w:val="en-US" w:eastAsia="zh-CN"/>
        </w:rPr>
        <w:t>等。</w:t>
      </w:r>
    </w:p>
    <w:p>
      <w:pPr>
        <w:spacing w:before="167" w:line="225" w:lineRule="auto"/>
        <w:outlineLvl w:val="1"/>
        <w:rPr>
          <w:rFonts w:hint="eastAsia" w:asciiTheme="minorEastAsia" w:hAnsiTheme="minorEastAsia"/>
          <w:b/>
          <w:bCs w:val="0"/>
          <w:sz w:val="28"/>
          <w:szCs w:val="28"/>
          <w:lang w:val="en-US" w:eastAsia="zh-CN"/>
        </w:rPr>
      </w:pPr>
      <w:r>
        <w:rPr>
          <w:rFonts w:hint="eastAsia" w:asciiTheme="minorEastAsia" w:hAnsiTheme="minorEastAsia"/>
          <w:b/>
          <w:bCs w:val="0"/>
          <w:sz w:val="28"/>
          <w:szCs w:val="28"/>
          <w:lang w:val="en-US" w:eastAsia="zh-CN"/>
        </w:rPr>
        <w:t>（八）职业技能证书</w:t>
      </w:r>
    </w:p>
    <w:p>
      <w:pPr>
        <w:spacing w:beforeLines="50" w:line="400" w:lineRule="exact"/>
        <w:rPr>
          <w:rFonts w:hint="eastAsia" w:ascii="宋体" w:hAnsi="宋体" w:eastAsia="宋体" w:cs="宋体"/>
          <w:spacing w:val="-3"/>
          <w:sz w:val="28"/>
          <w:szCs w:val="28"/>
          <w:lang w:val="en-US" w:eastAsia="zh-CN"/>
        </w:rPr>
      </w:pPr>
      <w:r>
        <w:rPr>
          <w:rFonts w:hint="eastAsia" w:ascii="宋体" w:hAnsi="宋体" w:eastAsia="宋体" w:cs="宋体"/>
          <w:spacing w:val="-3"/>
          <w:sz w:val="28"/>
          <w:szCs w:val="28"/>
          <w:lang w:val="en-US" w:eastAsia="zh-CN"/>
        </w:rPr>
        <w:t>一、国家级证书</w:t>
      </w:r>
    </w:p>
    <w:p>
      <w:pPr>
        <w:spacing w:beforeLines="50" w:line="400" w:lineRule="exact"/>
        <w:rPr>
          <w:rFonts w:hint="eastAsia" w:ascii="宋体" w:hAnsi="宋体" w:eastAsia="宋体" w:cs="宋体"/>
          <w:spacing w:val="-3"/>
          <w:sz w:val="28"/>
          <w:szCs w:val="28"/>
          <w:lang w:val="en-US" w:eastAsia="zh-CN"/>
        </w:rPr>
      </w:pPr>
      <w:r>
        <w:rPr>
          <w:rFonts w:hint="eastAsia" w:ascii="宋体" w:hAnsi="宋体" w:eastAsia="宋体" w:cs="宋体"/>
          <w:spacing w:val="-3"/>
          <w:sz w:val="28"/>
          <w:szCs w:val="28"/>
          <w:lang w:val="en-US" w:eastAsia="zh-CN"/>
        </w:rPr>
        <w:t>1. 电气工程师资格证书：这是国家承认的最高级别的电气自动化相关证书。获得该证书需要通过国家举办的统一考试，考核内容包括电气工程基础知识、电力系统、控制系统等方面。持有该证书可以在各个行业中从事与电气自动化相关的高级职位。2. 自动化仪表工程师资格证书：这是专门针对自动化仪表领域的国家级证书。获得该证书需要具备一定的仪表基础知识和实践经验，并通过国家举办的考试。持有该证书可以从事与仪表控制、传感器应用等方面相关的工作。</w:t>
      </w:r>
    </w:p>
    <w:p>
      <w:pPr>
        <w:spacing w:beforeLines="50" w:line="400" w:lineRule="exact"/>
        <w:rPr>
          <w:rFonts w:hint="eastAsia" w:ascii="宋体" w:hAnsi="宋体" w:eastAsia="宋体" w:cs="宋体"/>
          <w:spacing w:val="-3"/>
          <w:sz w:val="28"/>
          <w:szCs w:val="28"/>
          <w:lang w:val="en-US" w:eastAsia="zh-CN"/>
        </w:rPr>
      </w:pPr>
      <w:r>
        <w:rPr>
          <w:rFonts w:hint="eastAsia" w:ascii="宋体" w:hAnsi="宋体" w:eastAsia="宋体" w:cs="宋体"/>
          <w:spacing w:val="-3"/>
          <w:sz w:val="28"/>
          <w:szCs w:val="28"/>
          <w:lang w:val="en-US" w:eastAsia="zh-CN"/>
        </w:rPr>
        <w:t>二、行业认可证书</w:t>
      </w:r>
    </w:p>
    <w:p>
      <w:pPr>
        <w:spacing w:beforeLines="50" w:line="400" w:lineRule="exact"/>
        <w:rPr>
          <w:rFonts w:hint="eastAsia" w:ascii="宋体" w:hAnsi="宋体" w:eastAsia="宋体" w:cs="宋体"/>
          <w:spacing w:val="-3"/>
          <w:sz w:val="28"/>
          <w:szCs w:val="28"/>
          <w:lang w:val="en-US" w:eastAsia="zh-CN"/>
        </w:rPr>
      </w:pPr>
      <w:r>
        <w:rPr>
          <w:rFonts w:hint="eastAsia" w:ascii="宋体" w:hAnsi="宋体" w:eastAsia="宋体" w:cs="宋体"/>
          <w:spacing w:val="-3"/>
          <w:sz w:val="28"/>
          <w:szCs w:val="28"/>
          <w:lang w:val="en-US" w:eastAsia="zh-CN"/>
        </w:rPr>
        <w:t>1. PLC编程师：PLC（可编程逻辑控制器）是电气自动化中常用的控制设备。获得PLC编程师证书可以证明个人在PLC编程方面的专业能力，包括PLC基础知识、程序设计、故障排除等方面。2. SCADA系统工程师：SCADA（监控与数据采集系统）是电气自动化中用于监控和控制的软件系统。获得SCADA系统工程师证书可以证明个人在SCADA系统设计、配置和维护方面的专业能力。3. 电气安装工程师：电气安装是电气自动化领域中不可或缺的一环。获得电气安装工程师证书可以证明个人在电气设备安装、调试和维护方面的专业能力。三、国际认可证书1. ISA认证自动化技术专家（Certified Automation Professional，CAP）：ISA（国际自动化协会）是全球最大的自动化技术组织之一。获得CAP证书可以证明个人在自动化领域具备全面的知识和技能，包括过程控制、仪表与测量、工厂信息系统等方面。2. Siemens认证工程师：西门子是全球知名的电气自动化设备制造商。获得Siemens认证工程师证书可以证明个人在西门子设备的应用和维护方面具备专业能力。</w:t>
      </w:r>
    </w:p>
    <w:p>
      <w:pPr>
        <w:spacing w:before="167" w:line="225" w:lineRule="auto"/>
        <w:outlineLvl w:val="1"/>
        <w:rPr>
          <w:rFonts w:hint="eastAsia" w:asciiTheme="minorEastAsia" w:hAnsiTheme="minorEastAsia"/>
          <w:b/>
          <w:bCs w:val="0"/>
          <w:sz w:val="28"/>
          <w:szCs w:val="28"/>
          <w:lang w:val="en-US" w:eastAsia="zh-CN"/>
        </w:rPr>
      </w:pPr>
      <w:r>
        <w:rPr>
          <w:rFonts w:hint="eastAsia" w:asciiTheme="minorEastAsia" w:hAnsiTheme="minorEastAsia"/>
          <w:b/>
          <w:bCs w:val="0"/>
          <w:sz w:val="28"/>
          <w:szCs w:val="28"/>
          <w:lang w:val="en-US" w:eastAsia="zh-CN"/>
        </w:rPr>
        <w:t>（九）毕业标准</w:t>
      </w:r>
    </w:p>
    <w:p>
      <w:pPr>
        <w:spacing w:before="112" w:line="311" w:lineRule="auto"/>
        <w:ind w:right="175" w:firstLine="520"/>
        <w:jc w:val="both"/>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学生在规定修业年限内，完成人才培养方案规定的全部课程，取得本专业相应职业技能等级证书，最终达到以下规定、准予毕业：</w:t>
      </w:r>
    </w:p>
    <w:p>
      <w:pPr>
        <w:spacing w:before="112" w:line="311" w:lineRule="auto"/>
        <w:ind w:right="175" w:firstLine="520"/>
        <w:jc w:val="both"/>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1.达到人才培养所规定的德智体美劳等规格要求，修满教学计划规定所有必修的理论与实践课程，成绩合格，获得相应的选修课学分。</w:t>
      </w:r>
    </w:p>
    <w:p>
      <w:pPr>
        <w:spacing w:before="112" w:line="311" w:lineRule="auto"/>
        <w:ind w:right="175" w:firstLine="520"/>
        <w:jc w:val="both"/>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2.完成岗位实习，成绩合格。</w:t>
      </w:r>
    </w:p>
    <w:p>
      <w:pPr>
        <w:spacing w:before="112" w:line="311" w:lineRule="auto"/>
        <w:ind w:right="175" w:firstLine="520"/>
        <w:jc w:val="both"/>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3.完成毕业实习报告考核，成绩合格。</w:t>
      </w:r>
    </w:p>
    <w:p>
      <w:pPr>
        <w:spacing w:before="112" w:line="311" w:lineRule="auto"/>
        <w:ind w:right="175" w:firstLine="520"/>
        <w:jc w:val="both"/>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4.按学校规定参加第二课堂，完成6</w:t>
      </w:r>
      <w:r>
        <w:rPr>
          <w:rFonts w:hint="eastAsia" w:ascii="宋体" w:hAnsi="宋体" w:eastAsia="宋体" w:cs="宋体"/>
          <w:spacing w:val="-3"/>
          <w:sz w:val="28"/>
          <w:szCs w:val="28"/>
          <w:lang w:val="en-US" w:eastAsia="zh-CN"/>
        </w:rPr>
        <w:t>学</w:t>
      </w:r>
      <w:r>
        <w:rPr>
          <w:rFonts w:hint="eastAsia" w:ascii="宋体" w:hAnsi="宋体" w:eastAsia="宋体" w:cs="宋体"/>
          <w:spacing w:val="-3"/>
          <w:sz w:val="28"/>
          <w:szCs w:val="28"/>
          <w:lang w:eastAsia="zh-CN"/>
        </w:rPr>
        <w:t>分的实践积分，第二课堂成绩单及格以上。</w:t>
      </w:r>
    </w:p>
    <w:p>
      <w:pPr>
        <w:spacing w:before="105" w:line="221" w:lineRule="auto"/>
        <w:outlineLvl w:val="0"/>
        <w:rPr>
          <w:rFonts w:ascii="黑体" w:hAnsi="黑体" w:eastAsia="黑体" w:cs="黑体"/>
          <w:sz w:val="32"/>
          <w:szCs w:val="32"/>
        </w:rPr>
      </w:pPr>
      <w:r>
        <w:rPr>
          <w:rFonts w:ascii="黑体" w:hAnsi="黑体" w:eastAsia="黑体" w:cs="黑体"/>
          <w:b/>
          <w:bCs/>
          <w:spacing w:val="-10"/>
          <w:sz w:val="32"/>
          <w:szCs w:val="32"/>
        </w:rPr>
        <w:t>二、专业教学标准</w:t>
      </w:r>
    </w:p>
    <w:p>
      <w:pPr>
        <w:spacing w:before="167" w:line="225" w:lineRule="auto"/>
        <w:outlineLvl w:val="1"/>
        <w:rPr>
          <w:rFonts w:hint="eastAsia" w:ascii="宋体" w:hAnsi="宋体" w:eastAsia="宋体" w:cs="宋体"/>
          <w:b/>
          <w:bCs/>
          <w:spacing w:val="20"/>
          <w:sz w:val="31"/>
          <w:szCs w:val="31"/>
        </w:rPr>
      </w:pPr>
      <w:r>
        <w:rPr>
          <w:rFonts w:hint="eastAsia" w:ascii="宋体" w:hAnsi="宋体" w:eastAsia="宋体" w:cs="宋体"/>
          <w:b/>
          <w:bCs/>
          <w:spacing w:val="20"/>
          <w:sz w:val="31"/>
          <w:szCs w:val="31"/>
        </w:rPr>
        <w:t>(一)就业岗位及能力要求</w:t>
      </w:r>
    </w:p>
    <w:p>
      <w:pPr>
        <w:spacing w:beforeLines="50" w:line="400" w:lineRule="exact"/>
        <w:rPr>
          <w:rFonts w:hint="eastAsia" w:ascii="宋体" w:hAnsi="宋体" w:eastAsia="宋体" w:cs="宋体"/>
          <w:spacing w:val="-3"/>
          <w:sz w:val="28"/>
          <w:szCs w:val="28"/>
          <w:lang w:val="en-US" w:eastAsia="zh-CN"/>
        </w:rPr>
      </w:pPr>
    </w:p>
    <w:tbl>
      <w:tblPr>
        <w:tblStyle w:val="17"/>
        <w:tblpPr w:leftFromText="180" w:rightFromText="180" w:vertAnchor="text" w:horzAnchor="margin" w:tblpXSpec="center" w:tblpY="6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1134"/>
        <w:gridCol w:w="1560"/>
        <w:gridCol w:w="1701"/>
        <w:gridCol w:w="1701"/>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242" w:type="dxa"/>
            <w:vAlign w:val="center"/>
          </w:tcPr>
          <w:p>
            <w:pPr>
              <w:spacing w:beforeLines="50" w:line="400" w:lineRule="exact"/>
              <w:rPr>
                <w:rFonts w:asciiTheme="minorEastAsia" w:hAnsiTheme="minorEastAsia"/>
                <w:sz w:val="28"/>
                <w:szCs w:val="28"/>
              </w:rPr>
            </w:pPr>
            <w:r>
              <w:rPr>
                <w:rFonts w:hint="eastAsia" w:asciiTheme="minorEastAsia" w:hAnsiTheme="minorEastAsia"/>
                <w:sz w:val="28"/>
                <w:szCs w:val="28"/>
              </w:rPr>
              <w:t>所属专业大类（代码）</w:t>
            </w:r>
          </w:p>
        </w:tc>
        <w:tc>
          <w:tcPr>
            <w:tcW w:w="1134" w:type="dxa"/>
            <w:vAlign w:val="center"/>
          </w:tcPr>
          <w:p>
            <w:pPr>
              <w:spacing w:beforeLines="50" w:line="400" w:lineRule="exact"/>
              <w:rPr>
                <w:rFonts w:asciiTheme="minorEastAsia" w:hAnsiTheme="minorEastAsia"/>
                <w:bCs/>
                <w:sz w:val="28"/>
                <w:szCs w:val="28"/>
              </w:rPr>
            </w:pPr>
            <w:r>
              <w:rPr>
                <w:rFonts w:hint="eastAsia" w:asciiTheme="minorEastAsia" w:hAnsiTheme="minorEastAsia"/>
                <w:bCs/>
                <w:sz w:val="28"/>
                <w:szCs w:val="28"/>
              </w:rPr>
              <w:t>所属专业类</w:t>
            </w:r>
          </w:p>
          <w:p>
            <w:pPr>
              <w:spacing w:beforeLines="50" w:line="400" w:lineRule="exact"/>
              <w:rPr>
                <w:rFonts w:asciiTheme="minorEastAsia" w:hAnsiTheme="minorEastAsia"/>
                <w:bCs/>
                <w:sz w:val="28"/>
                <w:szCs w:val="28"/>
              </w:rPr>
            </w:pPr>
            <w:r>
              <w:rPr>
                <w:rFonts w:hint="eastAsia" w:asciiTheme="minorEastAsia" w:hAnsiTheme="minorEastAsia"/>
                <w:bCs/>
                <w:sz w:val="28"/>
                <w:szCs w:val="28"/>
              </w:rPr>
              <w:t>（代码）</w:t>
            </w:r>
          </w:p>
        </w:tc>
        <w:tc>
          <w:tcPr>
            <w:tcW w:w="1560" w:type="dxa"/>
            <w:vAlign w:val="center"/>
          </w:tcPr>
          <w:p>
            <w:pPr>
              <w:spacing w:beforeLines="50" w:line="400" w:lineRule="exact"/>
              <w:rPr>
                <w:rFonts w:asciiTheme="minorEastAsia" w:hAnsiTheme="minorEastAsia"/>
                <w:bCs/>
                <w:sz w:val="28"/>
                <w:szCs w:val="28"/>
              </w:rPr>
            </w:pPr>
            <w:r>
              <w:rPr>
                <w:rFonts w:hint="eastAsia" w:asciiTheme="minorEastAsia" w:hAnsiTheme="minorEastAsia"/>
                <w:bCs/>
                <w:sz w:val="28"/>
                <w:szCs w:val="28"/>
              </w:rPr>
              <w:t>对应行业</w:t>
            </w:r>
          </w:p>
          <w:p>
            <w:pPr>
              <w:spacing w:beforeLines="50" w:line="400" w:lineRule="exact"/>
              <w:rPr>
                <w:rFonts w:asciiTheme="minorEastAsia" w:hAnsiTheme="minorEastAsia"/>
                <w:bCs/>
                <w:sz w:val="28"/>
                <w:szCs w:val="28"/>
              </w:rPr>
            </w:pPr>
            <w:r>
              <w:rPr>
                <w:rFonts w:hint="eastAsia" w:asciiTheme="minorEastAsia" w:hAnsiTheme="minorEastAsia"/>
                <w:bCs/>
                <w:sz w:val="28"/>
                <w:szCs w:val="28"/>
              </w:rPr>
              <w:t>（代码）</w:t>
            </w:r>
          </w:p>
        </w:tc>
        <w:tc>
          <w:tcPr>
            <w:tcW w:w="1701" w:type="dxa"/>
            <w:vAlign w:val="center"/>
          </w:tcPr>
          <w:p>
            <w:pPr>
              <w:spacing w:beforeLines="50" w:line="400" w:lineRule="exact"/>
              <w:rPr>
                <w:rFonts w:asciiTheme="minorEastAsia" w:hAnsiTheme="minorEastAsia"/>
                <w:bCs/>
                <w:sz w:val="28"/>
                <w:szCs w:val="28"/>
              </w:rPr>
            </w:pPr>
            <w:r>
              <w:rPr>
                <w:rFonts w:hint="eastAsia" w:asciiTheme="minorEastAsia" w:hAnsiTheme="minorEastAsia"/>
                <w:bCs/>
                <w:sz w:val="28"/>
                <w:szCs w:val="28"/>
              </w:rPr>
              <w:t>主要职业类别</w:t>
            </w:r>
          </w:p>
          <w:p>
            <w:pPr>
              <w:spacing w:beforeLines="50" w:line="400" w:lineRule="exact"/>
              <w:rPr>
                <w:rFonts w:asciiTheme="minorEastAsia" w:hAnsiTheme="minorEastAsia"/>
                <w:bCs/>
                <w:sz w:val="28"/>
                <w:szCs w:val="28"/>
              </w:rPr>
            </w:pPr>
            <w:r>
              <w:rPr>
                <w:rFonts w:hint="eastAsia" w:asciiTheme="minorEastAsia" w:hAnsiTheme="minorEastAsia"/>
                <w:bCs/>
                <w:sz w:val="28"/>
                <w:szCs w:val="28"/>
              </w:rPr>
              <w:t>（代码）</w:t>
            </w:r>
          </w:p>
        </w:tc>
        <w:tc>
          <w:tcPr>
            <w:tcW w:w="1701" w:type="dxa"/>
            <w:vAlign w:val="center"/>
          </w:tcPr>
          <w:p>
            <w:pPr>
              <w:spacing w:beforeLines="50" w:line="400" w:lineRule="exact"/>
              <w:rPr>
                <w:rFonts w:asciiTheme="minorEastAsia" w:hAnsiTheme="minorEastAsia"/>
                <w:bCs/>
                <w:sz w:val="28"/>
                <w:szCs w:val="28"/>
              </w:rPr>
            </w:pPr>
            <w:r>
              <w:rPr>
                <w:rFonts w:hint="eastAsia" w:asciiTheme="minorEastAsia" w:hAnsiTheme="minorEastAsia"/>
                <w:bCs/>
                <w:sz w:val="28"/>
                <w:szCs w:val="28"/>
              </w:rPr>
              <w:t>主要岗位类别（或技术领域）</w:t>
            </w:r>
          </w:p>
        </w:tc>
        <w:tc>
          <w:tcPr>
            <w:tcW w:w="1701" w:type="dxa"/>
            <w:vAlign w:val="center"/>
          </w:tcPr>
          <w:p>
            <w:pPr>
              <w:spacing w:beforeLines="50" w:line="400" w:lineRule="exact"/>
              <w:rPr>
                <w:rFonts w:asciiTheme="minorEastAsia" w:hAnsiTheme="minorEastAsia"/>
                <w:bCs/>
                <w:sz w:val="28"/>
                <w:szCs w:val="28"/>
              </w:rPr>
            </w:pPr>
            <w:r>
              <w:rPr>
                <w:rFonts w:hint="eastAsia" w:asciiTheme="minorEastAsia" w:hAnsiTheme="minorEastAsia"/>
                <w:bCs/>
                <w:sz w:val="28"/>
                <w:szCs w:val="2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0" w:hRule="exact"/>
        </w:trPr>
        <w:tc>
          <w:tcPr>
            <w:tcW w:w="1242" w:type="dxa"/>
            <w:vAlign w:val="center"/>
          </w:tcPr>
          <w:p>
            <w:pPr>
              <w:spacing w:beforeLines="50" w:line="400" w:lineRule="exact"/>
              <w:rPr>
                <w:rFonts w:asciiTheme="minorEastAsia" w:hAnsiTheme="minorEastAsia"/>
                <w:sz w:val="28"/>
                <w:szCs w:val="28"/>
              </w:rPr>
            </w:pPr>
            <w:r>
              <w:rPr>
                <w:rFonts w:hint="eastAsia" w:asciiTheme="minorEastAsia" w:hAnsiTheme="minorEastAsia"/>
                <w:sz w:val="28"/>
                <w:szCs w:val="28"/>
              </w:rPr>
              <w:t>装备制造大类（46）</w:t>
            </w:r>
          </w:p>
        </w:tc>
        <w:tc>
          <w:tcPr>
            <w:tcW w:w="1134" w:type="dxa"/>
            <w:vAlign w:val="center"/>
          </w:tcPr>
          <w:p>
            <w:pPr>
              <w:spacing w:beforeLines="50" w:line="400" w:lineRule="exact"/>
              <w:rPr>
                <w:rFonts w:asciiTheme="minorEastAsia" w:hAnsiTheme="minorEastAsia"/>
                <w:sz w:val="28"/>
                <w:szCs w:val="28"/>
              </w:rPr>
            </w:pPr>
            <w:r>
              <w:rPr>
                <w:rFonts w:hint="eastAsia" w:asciiTheme="minorEastAsia" w:hAnsiTheme="minorEastAsia"/>
                <w:sz w:val="28"/>
                <w:szCs w:val="28"/>
              </w:rPr>
              <w:t>自动化类（4603）</w:t>
            </w:r>
          </w:p>
        </w:tc>
        <w:tc>
          <w:tcPr>
            <w:tcW w:w="1560" w:type="dxa"/>
            <w:vAlign w:val="center"/>
          </w:tcPr>
          <w:p>
            <w:pPr>
              <w:spacing w:beforeLines="50" w:line="400" w:lineRule="exact"/>
              <w:rPr>
                <w:rFonts w:asciiTheme="minorEastAsia" w:hAnsiTheme="minorEastAsia"/>
                <w:sz w:val="28"/>
                <w:szCs w:val="28"/>
              </w:rPr>
            </w:pPr>
            <w:r>
              <w:rPr>
                <w:rFonts w:hint="eastAsia" w:asciiTheme="minorEastAsia" w:hAnsiTheme="minorEastAsia"/>
                <w:sz w:val="28"/>
                <w:szCs w:val="28"/>
              </w:rPr>
              <w:t>电气机械和器材制造业(39)</w:t>
            </w:r>
          </w:p>
          <w:p>
            <w:pPr>
              <w:spacing w:beforeLines="50" w:line="400" w:lineRule="exact"/>
              <w:rPr>
                <w:rFonts w:asciiTheme="minorEastAsia" w:hAnsiTheme="minorEastAsia"/>
                <w:sz w:val="28"/>
                <w:szCs w:val="28"/>
              </w:rPr>
            </w:pPr>
            <w:r>
              <w:rPr>
                <w:rFonts w:hint="eastAsia" w:asciiTheme="minorEastAsia" w:hAnsiTheme="minorEastAsia"/>
                <w:sz w:val="28"/>
                <w:szCs w:val="28"/>
              </w:rPr>
              <w:t>计算机、通信</w:t>
            </w:r>
          </w:p>
          <w:p>
            <w:pPr>
              <w:spacing w:beforeLines="50" w:line="400" w:lineRule="exact"/>
              <w:rPr>
                <w:rFonts w:asciiTheme="minorEastAsia" w:hAnsiTheme="minorEastAsia"/>
                <w:sz w:val="28"/>
                <w:szCs w:val="28"/>
              </w:rPr>
            </w:pPr>
            <w:r>
              <w:rPr>
                <w:rFonts w:hint="eastAsia" w:asciiTheme="minorEastAsia" w:hAnsiTheme="minorEastAsia"/>
                <w:sz w:val="28"/>
                <w:szCs w:val="28"/>
              </w:rPr>
              <w:t>和其他电子设备制造业（40)</w:t>
            </w:r>
          </w:p>
        </w:tc>
        <w:tc>
          <w:tcPr>
            <w:tcW w:w="1701" w:type="dxa"/>
            <w:vAlign w:val="center"/>
          </w:tcPr>
          <w:p>
            <w:pPr>
              <w:spacing w:beforeLines="50" w:line="400" w:lineRule="exact"/>
              <w:rPr>
                <w:rFonts w:asciiTheme="minorEastAsia" w:hAnsiTheme="minorEastAsia"/>
                <w:sz w:val="28"/>
                <w:szCs w:val="28"/>
              </w:rPr>
            </w:pPr>
            <w:r>
              <w:rPr>
                <w:rFonts w:hint="eastAsia" w:asciiTheme="minorEastAsia" w:hAnsiTheme="minorEastAsia"/>
                <w:sz w:val="28"/>
                <w:szCs w:val="28"/>
              </w:rPr>
              <w:t>配电开关控制设备制造(3823）</w:t>
            </w:r>
          </w:p>
          <w:p>
            <w:pPr>
              <w:spacing w:beforeLines="50" w:line="400" w:lineRule="exact"/>
              <w:rPr>
                <w:rFonts w:asciiTheme="minorEastAsia" w:hAnsiTheme="minorEastAsia"/>
                <w:sz w:val="28"/>
                <w:szCs w:val="28"/>
              </w:rPr>
            </w:pPr>
            <w:r>
              <w:rPr>
                <w:rFonts w:hint="eastAsia" w:asciiTheme="minorEastAsia" w:hAnsiTheme="minorEastAsia"/>
                <w:sz w:val="28"/>
                <w:szCs w:val="28"/>
              </w:rPr>
              <w:t>其他输配电及控制设备制造（3829）</w:t>
            </w:r>
          </w:p>
          <w:p>
            <w:pPr>
              <w:spacing w:beforeLines="50" w:line="400" w:lineRule="exact"/>
              <w:rPr>
                <w:rFonts w:asciiTheme="minorEastAsia" w:hAnsiTheme="minorEastAsia"/>
                <w:sz w:val="28"/>
                <w:szCs w:val="28"/>
              </w:rPr>
            </w:pPr>
            <w:r>
              <w:rPr>
                <w:rFonts w:hint="eastAsia" w:asciiTheme="minorEastAsia" w:hAnsiTheme="minorEastAsia"/>
                <w:sz w:val="28"/>
                <w:szCs w:val="28"/>
              </w:rPr>
              <w:t>工业控制计算机及系统制造（3914）</w:t>
            </w:r>
          </w:p>
        </w:tc>
        <w:tc>
          <w:tcPr>
            <w:tcW w:w="1701" w:type="dxa"/>
            <w:vAlign w:val="center"/>
          </w:tcPr>
          <w:p>
            <w:pPr>
              <w:spacing w:beforeLines="50" w:line="400" w:lineRule="exact"/>
              <w:rPr>
                <w:rFonts w:asciiTheme="minorEastAsia" w:hAnsiTheme="minorEastAsia"/>
                <w:sz w:val="28"/>
                <w:szCs w:val="28"/>
              </w:rPr>
            </w:pPr>
            <w:r>
              <w:rPr>
                <w:rFonts w:hint="eastAsia" w:asciiTheme="minorEastAsia" w:hAnsiTheme="minorEastAsia"/>
                <w:sz w:val="28"/>
                <w:szCs w:val="28"/>
              </w:rPr>
              <w:t>电气控制、供配电、</w:t>
            </w:r>
          </w:p>
          <w:p>
            <w:pPr>
              <w:spacing w:beforeLines="50" w:line="400" w:lineRule="exact"/>
              <w:rPr>
                <w:rFonts w:asciiTheme="minorEastAsia" w:hAnsiTheme="minorEastAsia"/>
                <w:sz w:val="28"/>
                <w:szCs w:val="28"/>
              </w:rPr>
            </w:pPr>
            <w:r>
              <w:rPr>
                <w:rFonts w:hint="eastAsia" w:asciiTheme="minorEastAsia" w:hAnsiTheme="minorEastAsia"/>
                <w:sz w:val="28"/>
                <w:szCs w:val="28"/>
              </w:rPr>
              <w:t>自动化技术电气工程技术人员、机械工程技术人员、仪器仪表装配人员</w:t>
            </w:r>
          </w:p>
        </w:tc>
        <w:tc>
          <w:tcPr>
            <w:tcW w:w="1701" w:type="dxa"/>
            <w:vAlign w:val="center"/>
          </w:tcPr>
          <w:p>
            <w:pPr>
              <w:spacing w:beforeLines="50" w:line="400" w:lineRule="exact"/>
              <w:rPr>
                <w:rFonts w:asciiTheme="minorEastAsia" w:hAnsiTheme="minorEastAsia"/>
                <w:sz w:val="28"/>
                <w:szCs w:val="28"/>
              </w:rPr>
            </w:pPr>
            <w:r>
              <w:rPr>
                <w:rFonts w:hint="eastAsia" w:asciiTheme="minorEastAsia" w:hAnsiTheme="minorEastAsia"/>
                <w:sz w:val="28"/>
                <w:szCs w:val="28"/>
              </w:rPr>
              <w:t>电工证、电力电缆安装运维工、高低压电器及成套设备装配工、注册电气工程师</w:t>
            </w:r>
          </w:p>
        </w:tc>
      </w:tr>
    </w:tbl>
    <w:p>
      <w:pPr>
        <w:spacing w:line="240" w:lineRule="auto"/>
        <w:jc w:val="left"/>
        <w:outlineLvl w:val="1"/>
        <w:rPr>
          <w:rFonts w:hint="eastAsia" w:ascii="宋体" w:hAnsi="宋体" w:eastAsia="宋体" w:cs="宋体"/>
          <w:b/>
          <w:bCs/>
          <w:spacing w:val="20"/>
          <w:sz w:val="31"/>
          <w:szCs w:val="31"/>
          <w:lang w:eastAsia="zh-CN"/>
        </w:rPr>
      </w:pPr>
      <w:r>
        <w:rPr>
          <w:rFonts w:hint="eastAsia" w:ascii="宋体" w:hAnsi="宋体" w:eastAsia="宋体" w:cs="宋体"/>
          <w:b/>
          <w:bCs/>
          <w:spacing w:val="20"/>
          <w:sz w:val="31"/>
          <w:szCs w:val="31"/>
        </w:rPr>
        <w:t>(</w:t>
      </w:r>
      <w:r>
        <w:rPr>
          <w:rFonts w:hint="eastAsia" w:ascii="宋体" w:hAnsi="宋体" w:eastAsia="宋体" w:cs="宋体"/>
          <w:b/>
          <w:bCs/>
          <w:spacing w:val="20"/>
          <w:sz w:val="31"/>
          <w:szCs w:val="31"/>
          <w:lang w:val="en-US" w:eastAsia="zh-CN"/>
        </w:rPr>
        <w:t>二</w:t>
      </w:r>
      <w:r>
        <w:rPr>
          <w:rFonts w:hint="eastAsia" w:ascii="宋体" w:hAnsi="宋体" w:eastAsia="宋体" w:cs="宋体"/>
          <w:b/>
          <w:bCs/>
          <w:spacing w:val="20"/>
          <w:sz w:val="31"/>
          <w:szCs w:val="31"/>
        </w:rPr>
        <w:t>)</w:t>
      </w:r>
      <w:r>
        <w:rPr>
          <w:rFonts w:hint="eastAsia" w:ascii="宋体" w:hAnsi="宋体" w:eastAsia="宋体" w:cs="宋体"/>
          <w:b/>
          <w:bCs/>
          <w:spacing w:val="20"/>
          <w:sz w:val="31"/>
          <w:szCs w:val="31"/>
          <w:lang w:eastAsia="zh-CN"/>
        </w:rPr>
        <w:t>培养目标及规格</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（一）培养目标</w:t>
      </w:r>
    </w:p>
    <w:p>
      <w:pPr>
        <w:spacing w:beforeLines="50" w:line="400" w:lineRule="exact"/>
        <w:rPr>
          <w:rFonts w:asciiTheme="minorEastAsia" w:hAnsiTheme="minorEastAsia"/>
          <w:sz w:val="28"/>
          <w:szCs w:val="28"/>
        </w:rPr>
      </w:pPr>
      <w:r>
        <w:rPr>
          <w:rFonts w:hint="eastAsia" w:asciiTheme="minorEastAsia" w:hAnsiTheme="minorEastAsia"/>
          <w:sz w:val="28"/>
          <w:szCs w:val="28"/>
        </w:rPr>
        <w:t>本专业培养思想政治坚定、德技并修、全面发展，能够适应经济、科技发展需要,具备扎实系统的电气工程基础理论、专业知识、工程实践能力,遵守职业道德,具有社会责任感、较强的交流与团队合作能力,具有创新意识、自我学习能力。掌握了进行计算机控制系统、运动控制系统和信息系统的开发、设计及应用的基本能力。面向电力系统、电机与电器、电力电子技术等电气工程及其相关领域从事工程设计、装备制造、系统运行、技术开发、经济管理等方面工作的高素质工程技术人才。”</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（二）培养规格</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1.素质</w:t>
      </w:r>
    </w:p>
    <w:p>
      <w:pPr>
        <w:spacing w:beforeLines="50" w:line="400" w:lineRule="exact"/>
        <w:rPr>
          <w:rFonts w:asciiTheme="minorEastAsia" w:hAnsiTheme="minorEastAsia"/>
          <w:sz w:val="28"/>
          <w:szCs w:val="28"/>
        </w:rPr>
      </w:pPr>
      <w:r>
        <w:rPr>
          <w:rFonts w:hint="eastAsia" w:asciiTheme="minorEastAsia" w:hAnsiTheme="minorEastAsia"/>
          <w:sz w:val="28"/>
          <w:szCs w:val="28"/>
        </w:rPr>
        <w:t>(1)坚定拥护中国共产党领导和我国社会主义制度，在习近平新时代中国特色社会主义思想指引下，践行社会主义核心价值观，具有深厚的爱国情感和中华民族自豪感。</w:t>
      </w:r>
    </w:p>
    <w:p>
      <w:pPr>
        <w:spacing w:beforeLines="50" w:line="400" w:lineRule="exact"/>
        <w:rPr>
          <w:rFonts w:asciiTheme="minorEastAsia" w:hAnsiTheme="minorEastAsia"/>
          <w:sz w:val="28"/>
          <w:szCs w:val="28"/>
        </w:rPr>
      </w:pPr>
      <w:r>
        <w:rPr>
          <w:rFonts w:hint="eastAsia" w:asciiTheme="minorEastAsia" w:hAnsiTheme="minorEastAsia"/>
          <w:sz w:val="28"/>
          <w:szCs w:val="28"/>
        </w:rPr>
        <w:t>(2)崇尚宪法、遵法守纪、崇德向善、诚实守信、尊重生命、热爱劳动，履行道德准则和行为规范，具有社会责任感和社会参与意识。</w:t>
      </w:r>
    </w:p>
    <w:p>
      <w:pPr>
        <w:spacing w:beforeLines="50" w:line="400" w:lineRule="exact"/>
        <w:rPr>
          <w:rFonts w:asciiTheme="minorEastAsia" w:hAnsiTheme="minorEastAsia"/>
          <w:sz w:val="28"/>
          <w:szCs w:val="28"/>
        </w:rPr>
      </w:pPr>
      <w:r>
        <w:rPr>
          <w:rFonts w:hint="eastAsia" w:asciiTheme="minorEastAsia" w:hAnsiTheme="minorEastAsia"/>
          <w:sz w:val="28"/>
          <w:szCs w:val="28"/>
        </w:rPr>
        <w:t>(3)具有质量意识、环保意识、安全意识、信息素养、工匠精神、创新思维。</w:t>
      </w:r>
    </w:p>
    <w:p>
      <w:pPr>
        <w:spacing w:beforeLines="50" w:line="400" w:lineRule="exact"/>
        <w:rPr>
          <w:rFonts w:asciiTheme="minorEastAsia" w:hAnsiTheme="minorEastAsia"/>
          <w:sz w:val="28"/>
          <w:szCs w:val="28"/>
        </w:rPr>
      </w:pPr>
      <w:r>
        <w:rPr>
          <w:rFonts w:hint="eastAsia" w:asciiTheme="minorEastAsia" w:hAnsiTheme="minorEastAsia"/>
          <w:sz w:val="28"/>
          <w:szCs w:val="28"/>
        </w:rPr>
        <w:t>(4)勇于奋斗、乐观向上，具有自我管理能力、职业生涯规划的意识，有较强的集体意识和团队合作精神。</w:t>
      </w:r>
    </w:p>
    <w:p>
      <w:pPr>
        <w:spacing w:beforeLines="50" w:line="400" w:lineRule="exact"/>
        <w:rPr>
          <w:rFonts w:asciiTheme="minorEastAsia" w:hAnsiTheme="minorEastAsia"/>
          <w:sz w:val="28"/>
          <w:szCs w:val="28"/>
        </w:rPr>
      </w:pPr>
      <w:r>
        <w:rPr>
          <w:rFonts w:hint="eastAsia" w:asciiTheme="minorEastAsia" w:hAnsiTheme="minorEastAsia"/>
          <w:sz w:val="28"/>
          <w:szCs w:val="28"/>
        </w:rPr>
        <w:t>(5)具有健康的体魄、心理和健全的人格，掌握基本运动知识和1-2项运动技能，养成良好的健身与卫生习馈，以及良好的行为习惯。</w:t>
      </w:r>
    </w:p>
    <w:p>
      <w:pPr>
        <w:spacing w:beforeLines="50" w:line="400" w:lineRule="exact"/>
        <w:rPr>
          <w:rFonts w:asciiTheme="minorEastAsia" w:hAnsiTheme="minorEastAsia"/>
          <w:sz w:val="28"/>
          <w:szCs w:val="28"/>
        </w:rPr>
      </w:pPr>
      <w:r>
        <w:rPr>
          <w:rFonts w:hint="eastAsia" w:asciiTheme="minorEastAsia" w:hAnsiTheme="minorEastAsia"/>
          <w:sz w:val="28"/>
          <w:szCs w:val="28"/>
        </w:rPr>
        <w:t>(6)具有一定的审美和人文素养，能够形成1-2项艺术特长或爱好。</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2.知识</w:t>
      </w:r>
    </w:p>
    <w:p>
      <w:pPr>
        <w:spacing w:beforeLines="50" w:line="400" w:lineRule="exact"/>
        <w:rPr>
          <w:rFonts w:asciiTheme="minorEastAsia" w:hAnsiTheme="minorEastAsia"/>
          <w:sz w:val="28"/>
          <w:szCs w:val="28"/>
        </w:rPr>
      </w:pPr>
      <w:r>
        <w:rPr>
          <w:rFonts w:hint="eastAsia" w:asciiTheme="minorEastAsia" w:hAnsiTheme="minorEastAsia"/>
          <w:sz w:val="28"/>
          <w:szCs w:val="28"/>
        </w:rPr>
        <w:t>(1)掌握必备的思想政治理论、科学文化基础知识和中华优秀传统文化知识。</w:t>
      </w:r>
    </w:p>
    <w:p>
      <w:pPr>
        <w:spacing w:beforeLines="50" w:line="400" w:lineRule="exact"/>
        <w:rPr>
          <w:rFonts w:asciiTheme="minorEastAsia" w:hAnsiTheme="minorEastAsia"/>
          <w:sz w:val="28"/>
          <w:szCs w:val="28"/>
        </w:rPr>
      </w:pPr>
      <w:r>
        <w:rPr>
          <w:rFonts w:asciiTheme="minorEastAsia" w:hAnsiTheme="minorEastAsia"/>
          <w:sz w:val="28"/>
          <w:szCs w:val="28"/>
        </w:rPr>
        <w:t>(</w:t>
      </w:r>
      <w:r>
        <w:rPr>
          <w:rFonts w:hint="eastAsia" w:asciiTheme="minorEastAsia" w:hAnsiTheme="minorEastAsia"/>
          <w:sz w:val="28"/>
          <w:szCs w:val="28"/>
        </w:rPr>
        <w:t>2)掌握电气设备管理技术、机电产品市场营销、工业企业管理等管理知识。</w:t>
      </w:r>
    </w:p>
    <w:p>
      <w:pPr>
        <w:spacing w:beforeLines="50" w:line="400" w:lineRule="exact"/>
        <w:rPr>
          <w:rFonts w:asciiTheme="minorEastAsia" w:hAnsiTheme="minorEastAsia"/>
          <w:sz w:val="28"/>
          <w:szCs w:val="28"/>
        </w:rPr>
      </w:pPr>
      <w:r>
        <w:rPr>
          <w:rFonts w:hint="eastAsia" w:asciiTheme="minorEastAsia" w:hAnsiTheme="minorEastAsia"/>
          <w:sz w:val="28"/>
          <w:szCs w:val="28"/>
        </w:rPr>
        <w:t>(</w:t>
      </w:r>
      <w:r>
        <w:rPr>
          <w:rFonts w:asciiTheme="minorEastAsia" w:hAnsiTheme="minorEastAsia"/>
          <w:sz w:val="28"/>
          <w:szCs w:val="28"/>
        </w:rPr>
        <w:t>3</w:t>
      </w:r>
      <w:r>
        <w:rPr>
          <w:rFonts w:hint="eastAsia" w:asciiTheme="minorEastAsia" w:hAnsiTheme="minorEastAsia"/>
          <w:sz w:val="28"/>
          <w:szCs w:val="28"/>
        </w:rPr>
        <w:t>)掌握必备的自然科学和社会科学基础知识；</w:t>
      </w:r>
    </w:p>
    <w:p>
      <w:pPr>
        <w:spacing w:beforeLines="50" w:line="400" w:lineRule="exact"/>
        <w:rPr>
          <w:rFonts w:asciiTheme="minorEastAsia" w:hAnsiTheme="minorEastAsia"/>
          <w:sz w:val="28"/>
          <w:szCs w:val="28"/>
        </w:rPr>
      </w:pPr>
      <w:r>
        <w:rPr>
          <w:rFonts w:hint="eastAsia" w:asciiTheme="minorEastAsia" w:hAnsiTheme="minorEastAsia"/>
          <w:sz w:val="28"/>
          <w:szCs w:val="28"/>
        </w:rPr>
        <w:t>(4)掌握科学锻炼身体的技能，达到国家规定的体育和军事训练合格标准；</w:t>
      </w:r>
    </w:p>
    <w:p>
      <w:pPr>
        <w:spacing w:beforeLines="50" w:line="400" w:lineRule="exact"/>
        <w:rPr>
          <w:rFonts w:asciiTheme="minorEastAsia" w:hAnsiTheme="minorEastAsia"/>
          <w:sz w:val="28"/>
          <w:szCs w:val="28"/>
        </w:rPr>
      </w:pPr>
      <w:r>
        <w:rPr>
          <w:rFonts w:hint="eastAsia" w:asciiTheme="minorEastAsia" w:hAnsiTheme="minorEastAsia"/>
          <w:sz w:val="28"/>
          <w:szCs w:val="28"/>
        </w:rPr>
        <w:t>(5)掌握从事本专业必需的文化基础知识；</w:t>
      </w:r>
    </w:p>
    <w:p>
      <w:pPr>
        <w:spacing w:beforeLines="50" w:line="400" w:lineRule="exact"/>
        <w:rPr>
          <w:rFonts w:asciiTheme="minorEastAsia" w:hAnsiTheme="minorEastAsia"/>
          <w:sz w:val="28"/>
          <w:szCs w:val="28"/>
        </w:rPr>
      </w:pPr>
      <w:r>
        <w:rPr>
          <w:rFonts w:hint="eastAsia" w:asciiTheme="minorEastAsia" w:hAnsiTheme="minorEastAsia"/>
          <w:sz w:val="28"/>
          <w:szCs w:val="28"/>
        </w:rPr>
        <w:t>(6)掌握电路基础、数字电路和模拟电路、电机拖动等专业基础知识；</w:t>
      </w:r>
    </w:p>
    <w:p>
      <w:pPr>
        <w:spacing w:beforeLines="50" w:line="400" w:lineRule="exact"/>
        <w:rPr>
          <w:rFonts w:asciiTheme="minorEastAsia" w:hAnsiTheme="minorEastAsia"/>
          <w:sz w:val="28"/>
          <w:szCs w:val="28"/>
        </w:rPr>
      </w:pPr>
      <w:r>
        <w:rPr>
          <w:rFonts w:hint="eastAsia" w:asciiTheme="minorEastAsia" w:hAnsiTheme="minorEastAsia"/>
          <w:sz w:val="28"/>
          <w:szCs w:val="28"/>
        </w:rPr>
        <w:t>(7)掌握plc、单片机、电气工程、电气绘图等职业能力知识；</w:t>
      </w:r>
    </w:p>
    <w:p>
      <w:pPr>
        <w:spacing w:beforeLines="50" w:line="400" w:lineRule="exact"/>
        <w:rPr>
          <w:rFonts w:asciiTheme="minorEastAsia" w:hAnsiTheme="minorEastAsia"/>
          <w:sz w:val="28"/>
          <w:szCs w:val="28"/>
        </w:rPr>
      </w:pPr>
      <w:r>
        <w:rPr>
          <w:rFonts w:hint="eastAsia" w:asciiTheme="minorEastAsia" w:hAnsiTheme="minorEastAsia"/>
          <w:sz w:val="28"/>
          <w:szCs w:val="28"/>
        </w:rPr>
        <w:t>(8)掌握电气自动化系统设计、自动生产线安装与调试等综合能力知识；</w:t>
      </w:r>
    </w:p>
    <w:p>
      <w:pPr>
        <w:spacing w:beforeLines="50" w:line="400" w:lineRule="exact"/>
        <w:outlineLvl w:val="9"/>
        <w:rPr>
          <w:rFonts w:asciiTheme="minorEastAsia" w:hAnsiTheme="minorEastAsia"/>
          <w:sz w:val="28"/>
          <w:szCs w:val="28"/>
        </w:rPr>
      </w:pPr>
      <w:r>
        <w:rPr>
          <w:rFonts w:asciiTheme="minorEastAsia" w:hAnsiTheme="minorEastAsia"/>
          <w:sz w:val="28"/>
          <w:szCs w:val="28"/>
        </w:rPr>
        <w:t>3.能力</w:t>
      </w:r>
    </w:p>
    <w:p>
      <w:pPr>
        <w:spacing w:beforeLines="50" w:line="400" w:lineRule="exact"/>
        <w:rPr>
          <w:rFonts w:asciiTheme="minorEastAsia" w:hAnsiTheme="minorEastAsia"/>
          <w:sz w:val="28"/>
          <w:szCs w:val="28"/>
        </w:rPr>
      </w:pPr>
      <w:r>
        <w:rPr>
          <w:rFonts w:hint="eastAsia" w:asciiTheme="minorEastAsia" w:hAnsiTheme="minorEastAsia"/>
          <w:sz w:val="28"/>
          <w:szCs w:val="28"/>
        </w:rPr>
        <w:t>(1)具有岗位适应能力和社会活动能力。</w:t>
      </w:r>
    </w:p>
    <w:p>
      <w:pPr>
        <w:spacing w:beforeLines="50" w:line="400" w:lineRule="exact"/>
        <w:rPr>
          <w:rFonts w:asciiTheme="minorEastAsia" w:hAnsiTheme="minorEastAsia"/>
          <w:sz w:val="28"/>
          <w:szCs w:val="28"/>
        </w:rPr>
      </w:pPr>
      <w:r>
        <w:rPr>
          <w:rFonts w:asciiTheme="minorEastAsia" w:hAnsiTheme="minorEastAsia"/>
          <w:sz w:val="28"/>
          <w:szCs w:val="28"/>
        </w:rPr>
        <w:t>(</w:t>
      </w:r>
      <w:r>
        <w:rPr>
          <w:rFonts w:hint="eastAsia" w:asciiTheme="minorEastAsia" w:hAnsiTheme="minorEastAsia"/>
          <w:sz w:val="28"/>
          <w:szCs w:val="28"/>
        </w:rPr>
        <w:t>2)熟悉与本专业相关的法律法规以及环境保护、安全消防等知识。</w:t>
      </w:r>
    </w:p>
    <w:p>
      <w:pPr>
        <w:spacing w:beforeLines="50" w:line="400" w:lineRule="exact"/>
        <w:rPr>
          <w:rFonts w:asciiTheme="minorEastAsia" w:hAnsiTheme="minorEastAsia"/>
          <w:sz w:val="28"/>
          <w:szCs w:val="28"/>
        </w:rPr>
      </w:pPr>
      <w:r>
        <w:rPr>
          <w:rFonts w:hint="eastAsia" w:asciiTheme="minorEastAsia" w:hAnsiTheme="minorEastAsia"/>
          <w:sz w:val="28"/>
          <w:szCs w:val="28"/>
        </w:rPr>
        <w:t>(</w:t>
      </w:r>
      <w:r>
        <w:rPr>
          <w:rFonts w:asciiTheme="minorEastAsia" w:hAnsiTheme="minorEastAsia"/>
          <w:sz w:val="28"/>
          <w:szCs w:val="28"/>
        </w:rPr>
        <w:t>3</w:t>
      </w:r>
      <w:r>
        <w:rPr>
          <w:rFonts w:hint="eastAsia" w:asciiTheme="minorEastAsia" w:hAnsiTheme="minorEastAsia"/>
          <w:sz w:val="28"/>
          <w:szCs w:val="28"/>
        </w:rPr>
        <w:t>)具有电子元件分析及设计能力；</w:t>
      </w:r>
    </w:p>
    <w:p>
      <w:pPr>
        <w:spacing w:beforeLines="50" w:line="400" w:lineRule="exact"/>
        <w:rPr>
          <w:rFonts w:asciiTheme="minorEastAsia" w:hAnsiTheme="minorEastAsia"/>
          <w:sz w:val="28"/>
          <w:szCs w:val="28"/>
        </w:rPr>
      </w:pPr>
      <w:r>
        <w:rPr>
          <w:rFonts w:hint="eastAsia" w:asciiTheme="minorEastAsia" w:hAnsiTheme="minorEastAsia"/>
          <w:sz w:val="28"/>
          <w:szCs w:val="28"/>
        </w:rPr>
        <w:t>(4)具有plc编程、操作及维护能力；</w:t>
      </w:r>
    </w:p>
    <w:p>
      <w:pPr>
        <w:spacing w:beforeLines="50" w:line="400" w:lineRule="exact"/>
        <w:rPr>
          <w:rFonts w:asciiTheme="minorEastAsia" w:hAnsiTheme="minorEastAsia"/>
          <w:sz w:val="28"/>
          <w:szCs w:val="28"/>
        </w:rPr>
      </w:pPr>
      <w:r>
        <w:rPr>
          <w:rFonts w:hint="eastAsia" w:asciiTheme="minorEastAsia" w:hAnsiTheme="minorEastAsia"/>
          <w:sz w:val="28"/>
          <w:szCs w:val="28"/>
        </w:rPr>
        <w:t>(5)具有查阅技术资料、专业英语资料的能力；</w:t>
      </w:r>
    </w:p>
    <w:p>
      <w:pPr>
        <w:spacing w:beforeLines="50" w:line="400" w:lineRule="exact"/>
        <w:rPr>
          <w:rFonts w:asciiTheme="minorEastAsia" w:hAnsiTheme="minorEastAsia"/>
          <w:sz w:val="28"/>
          <w:szCs w:val="28"/>
        </w:rPr>
      </w:pPr>
      <w:r>
        <w:rPr>
          <w:rFonts w:hint="eastAsia" w:asciiTheme="minorEastAsia" w:hAnsiTheme="minorEastAsia"/>
          <w:sz w:val="28"/>
          <w:szCs w:val="28"/>
        </w:rPr>
        <w:t>(6)具有较强的电工操作和维修能力</w:t>
      </w:r>
    </w:p>
    <w:p>
      <w:pPr>
        <w:spacing w:beforeLines="50" w:line="400" w:lineRule="exact"/>
        <w:rPr>
          <w:rFonts w:asciiTheme="minorEastAsia" w:hAnsiTheme="minorEastAsia"/>
          <w:sz w:val="28"/>
          <w:szCs w:val="28"/>
        </w:rPr>
      </w:pPr>
      <w:r>
        <w:rPr>
          <w:rFonts w:hint="eastAsia" w:asciiTheme="minorEastAsia" w:hAnsiTheme="minorEastAsia"/>
          <w:sz w:val="28"/>
          <w:szCs w:val="28"/>
        </w:rPr>
        <w:t>(7)具有对机电设备安装、调试、维护的能力；</w:t>
      </w:r>
    </w:p>
    <w:p>
      <w:pPr>
        <w:spacing w:beforeLines="50" w:line="400" w:lineRule="exact"/>
        <w:rPr>
          <w:rFonts w:asciiTheme="minorEastAsia" w:hAnsiTheme="minorEastAsia"/>
          <w:sz w:val="28"/>
          <w:szCs w:val="28"/>
        </w:rPr>
      </w:pPr>
      <w:r>
        <w:rPr>
          <w:rFonts w:hint="eastAsia" w:asciiTheme="minorEastAsia" w:hAnsiTheme="minorEastAsia"/>
          <w:sz w:val="28"/>
          <w:szCs w:val="28"/>
        </w:rPr>
        <w:t>(8)具有对机电设备的故障进行诊断和排除的能力；</w:t>
      </w:r>
    </w:p>
    <w:p>
      <w:pPr>
        <w:spacing w:beforeLines="50" w:line="400" w:lineRule="exact"/>
        <w:rPr>
          <w:rFonts w:asciiTheme="minorEastAsia" w:hAnsiTheme="minorEastAsia"/>
          <w:sz w:val="28"/>
          <w:szCs w:val="28"/>
        </w:rPr>
      </w:pPr>
      <w:r>
        <w:rPr>
          <w:rFonts w:hint="eastAsia" w:asciiTheme="minorEastAsia" w:hAnsiTheme="minorEastAsia"/>
          <w:sz w:val="28"/>
          <w:szCs w:val="28"/>
        </w:rPr>
        <w:t>(9)具有对生产线自动化设备进行装配、调试、维护的能力；</w:t>
      </w:r>
    </w:p>
    <w:p>
      <w:pPr>
        <w:spacing w:beforeLines="50" w:line="400" w:lineRule="exact"/>
        <w:rPr>
          <w:rFonts w:asciiTheme="minorEastAsia" w:hAnsiTheme="minorEastAsia"/>
          <w:sz w:val="28"/>
          <w:szCs w:val="28"/>
        </w:rPr>
      </w:pPr>
      <w:r>
        <w:rPr>
          <w:rFonts w:asciiTheme="minorEastAsia" w:hAnsiTheme="minorEastAsia"/>
          <w:sz w:val="28"/>
          <w:szCs w:val="28"/>
        </w:rPr>
        <w:t>(</w:t>
      </w:r>
      <w:r>
        <w:rPr>
          <w:rFonts w:hint="eastAsia" w:asciiTheme="minorEastAsia" w:hAnsiTheme="minorEastAsia"/>
          <w:sz w:val="28"/>
          <w:szCs w:val="28"/>
        </w:rPr>
        <w:t>10)具有生产管理的能力。</w:t>
      </w:r>
    </w:p>
    <w:p>
      <w:pPr>
        <w:spacing w:beforeLines="50" w:line="400" w:lineRule="exact"/>
        <w:rPr>
          <w:rFonts w:asciiTheme="minorEastAsia" w:hAnsiTheme="minorEastAsia"/>
          <w:sz w:val="28"/>
          <w:szCs w:val="28"/>
        </w:rPr>
      </w:pPr>
      <w:r>
        <w:rPr>
          <w:rFonts w:hint="eastAsia" w:asciiTheme="minorEastAsia" w:hAnsiTheme="minorEastAsia"/>
          <w:sz w:val="28"/>
          <w:szCs w:val="28"/>
        </w:rPr>
        <w:t>(11)具有再学习的能力和适应职业岗位变化的能力；</w:t>
      </w:r>
    </w:p>
    <w:p>
      <w:pPr>
        <w:spacing w:line="240" w:lineRule="auto"/>
        <w:jc w:val="left"/>
        <w:outlineLvl w:val="1"/>
        <w:rPr>
          <w:rFonts w:hint="eastAsia" w:ascii="宋体" w:hAnsi="宋体" w:eastAsia="宋体" w:cs="宋体"/>
          <w:b/>
          <w:bCs/>
          <w:spacing w:val="20"/>
          <w:sz w:val="31"/>
          <w:szCs w:val="31"/>
          <w:lang w:eastAsia="zh-CN"/>
        </w:rPr>
      </w:pPr>
      <w:r>
        <w:rPr>
          <w:rFonts w:hint="eastAsia" w:ascii="宋体" w:hAnsi="宋体" w:eastAsia="宋体" w:cs="宋体"/>
          <w:b/>
          <w:bCs/>
          <w:spacing w:val="20"/>
          <w:sz w:val="31"/>
          <w:szCs w:val="31"/>
          <w:lang w:eastAsia="zh-CN"/>
        </w:rPr>
        <w:t>(三)课程体系</w:t>
      </w:r>
    </w:p>
    <w:p>
      <w:pPr>
        <w:spacing w:beforeLines="50" w:line="400" w:lineRule="exact"/>
        <w:rPr>
          <w:rFonts w:asciiTheme="minorEastAsia" w:hAnsiTheme="minorEastAsia"/>
          <w:sz w:val="28"/>
          <w:szCs w:val="28"/>
        </w:rPr>
      </w:pPr>
      <w:r>
        <w:rPr>
          <w:rFonts w:hint="eastAsia" w:asciiTheme="minorEastAsia" w:hAnsiTheme="minorEastAsia"/>
          <w:sz w:val="28"/>
          <w:szCs w:val="28"/>
        </w:rPr>
        <w:t>本专业主要包括公共基础课程和专业课程。</w:t>
      </w:r>
    </w:p>
    <w:p>
      <w:pPr>
        <w:spacing w:beforeLines="50" w:line="400" w:lineRule="exact"/>
        <w:outlineLvl w:val="2"/>
        <w:rPr>
          <w:rFonts w:asciiTheme="minorEastAsia" w:hAnsiTheme="minorEastAsia"/>
          <w:sz w:val="28"/>
          <w:szCs w:val="28"/>
        </w:rPr>
      </w:pPr>
      <w:r>
        <w:rPr>
          <w:rFonts w:hint="eastAsia" w:asciiTheme="minorEastAsia" w:hAnsiTheme="minorEastAsia"/>
          <w:sz w:val="28"/>
          <w:szCs w:val="28"/>
        </w:rPr>
        <w:t>（一）公共基础课程</w:t>
      </w:r>
    </w:p>
    <w:p>
      <w:pPr>
        <w:spacing w:beforeLines="50" w:line="400" w:lineRule="exact"/>
        <w:rPr>
          <w:rFonts w:asciiTheme="minorEastAsia" w:hAnsiTheme="minorEastAsia"/>
          <w:sz w:val="28"/>
          <w:szCs w:val="28"/>
        </w:rPr>
      </w:pPr>
      <w:r>
        <w:rPr>
          <w:rFonts w:hint="eastAsia" w:asciiTheme="minorEastAsia" w:hAnsiTheme="minorEastAsia"/>
          <w:sz w:val="28"/>
          <w:szCs w:val="28"/>
        </w:rPr>
        <w:t>1、公共基础课程。主要课程有：思想政治理论课（包括：思想道德修养与法律基础、毛泽东思想与中国特色社会主义理论体系概论、形势与政策）、军事理论与军事技能训练、大学生心理健康教育，大学体育、创新创业教育、大学生职业发展与就业指导、大学英语、计算机应用基础（信息技术）、高等数学、大学语文、中国优秀传统文化、艺术类课程。</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2、公共选修课。</w:t>
      </w:r>
    </w:p>
    <w:p>
      <w:pPr>
        <w:spacing w:beforeLines="50" w:line="400" w:lineRule="exact"/>
        <w:rPr>
          <w:rFonts w:asciiTheme="minorEastAsia" w:hAnsiTheme="minorEastAsia"/>
          <w:sz w:val="28"/>
          <w:szCs w:val="28"/>
        </w:rPr>
      </w:pPr>
      <w:r>
        <w:rPr>
          <w:rFonts w:hint="eastAsia" w:asciiTheme="minorEastAsia" w:hAnsiTheme="minorEastAsia"/>
          <w:sz w:val="28"/>
          <w:szCs w:val="28"/>
        </w:rPr>
        <w:t>学生需要在选修课模块中任选修读完成4个（含）以上学分课程。申请国学辅修专业的学生须修满8个（含）学分以上国学课程，成绩合格颁发国学辅修专业证书。</w:t>
      </w:r>
    </w:p>
    <w:p>
      <w:pPr>
        <w:spacing w:beforeLines="50" w:line="400" w:lineRule="exact"/>
        <w:rPr>
          <w:rFonts w:asciiTheme="minorEastAsia" w:hAnsiTheme="minorEastAsia"/>
          <w:sz w:val="28"/>
          <w:szCs w:val="28"/>
        </w:rPr>
      </w:pPr>
      <w:r>
        <w:rPr>
          <w:rFonts w:hint="eastAsia" w:asciiTheme="minorEastAsia" w:hAnsiTheme="minorEastAsia"/>
          <w:sz w:val="28"/>
          <w:szCs w:val="28"/>
        </w:rPr>
        <w:t>主要公共基础课程简介如下：</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1、思想道德修养与法律基础</w:t>
      </w:r>
    </w:p>
    <w:p>
      <w:pPr>
        <w:spacing w:beforeLines="50" w:line="400" w:lineRule="exact"/>
        <w:rPr>
          <w:rFonts w:asciiTheme="minorEastAsia" w:hAnsiTheme="minorEastAsia"/>
          <w:sz w:val="28"/>
          <w:szCs w:val="28"/>
        </w:rPr>
      </w:pPr>
      <w:r>
        <w:rPr>
          <w:rFonts w:hint="eastAsia" w:asciiTheme="minorEastAsia" w:hAnsiTheme="minorEastAsia"/>
          <w:sz w:val="28"/>
          <w:szCs w:val="28"/>
        </w:rPr>
        <w:t>课程目标：本课程是系统地对大学生进行马克思主义理论教育和品德、法律教育的主渠道和基本环节，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beforeLines="50" w:line="400" w:lineRule="exact"/>
        <w:rPr>
          <w:rFonts w:asciiTheme="minorEastAsia" w:hAnsiTheme="minorEastAsia"/>
          <w:sz w:val="28"/>
          <w:szCs w:val="28"/>
        </w:rPr>
      </w:pPr>
      <w:r>
        <w:rPr>
          <w:rFonts w:hint="eastAsia" w:asciiTheme="minorEastAsia" w:hAnsiTheme="minorEastAsia"/>
          <w:sz w:val="28"/>
          <w:szCs w:val="28"/>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2、毛泽东思想与中国特色社会主义理论体系概论</w:t>
      </w:r>
    </w:p>
    <w:p>
      <w:pPr>
        <w:spacing w:beforeLines="50" w:line="400" w:lineRule="exact"/>
        <w:rPr>
          <w:rFonts w:asciiTheme="minorEastAsia" w:hAnsiTheme="minorEastAsia"/>
          <w:sz w:val="28"/>
          <w:szCs w:val="28"/>
        </w:rPr>
      </w:pPr>
      <w:r>
        <w:rPr>
          <w:rFonts w:hint="eastAsia" w:asciiTheme="minorEastAsia" w:hAnsiTheme="minorEastAsia"/>
          <w:sz w:val="28"/>
          <w:szCs w:val="28"/>
        </w:rPr>
        <w:t>课程目标：本课程是中共中央宣传部和国家教育部规定的高职院校思想政治理论教育二门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beforeLines="50" w:line="400" w:lineRule="exact"/>
        <w:rPr>
          <w:rFonts w:asciiTheme="minorEastAsia" w:hAnsiTheme="minorEastAsia"/>
          <w:sz w:val="28"/>
          <w:szCs w:val="28"/>
        </w:rPr>
      </w:pPr>
      <w:r>
        <w:rPr>
          <w:rFonts w:hint="eastAsia" w:asciiTheme="minorEastAsia" w:hAnsiTheme="minorEastAsia"/>
          <w:sz w:val="28"/>
          <w:szCs w:val="28"/>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3、形势与政策</w:t>
      </w:r>
    </w:p>
    <w:p>
      <w:pPr>
        <w:spacing w:beforeLines="50" w:line="400" w:lineRule="exact"/>
        <w:rPr>
          <w:rFonts w:asciiTheme="minorEastAsia" w:hAnsiTheme="minorEastAsia"/>
          <w:sz w:val="28"/>
          <w:szCs w:val="28"/>
        </w:rPr>
      </w:pPr>
      <w:r>
        <w:rPr>
          <w:rFonts w:hint="eastAsia" w:asciiTheme="minorEastAsia" w:hAnsiTheme="minorEastAsia"/>
          <w:sz w:val="28"/>
          <w:szCs w:val="28"/>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beforeLines="50" w:line="400" w:lineRule="exact"/>
        <w:rPr>
          <w:rFonts w:asciiTheme="minorEastAsia" w:hAnsiTheme="minorEastAsia"/>
          <w:sz w:val="28"/>
          <w:szCs w:val="28"/>
        </w:rPr>
      </w:pPr>
      <w:r>
        <w:rPr>
          <w:rFonts w:hint="eastAsia" w:asciiTheme="minorEastAsia" w:hAnsiTheme="minorEastAsia"/>
          <w:sz w:val="28"/>
          <w:szCs w:val="28"/>
        </w:rPr>
        <w:t>内容简介：本课程主要以马克思列宁主义、毛泽东思想、邓小平理论、“三个代表”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4、创新创业基础</w:t>
      </w:r>
    </w:p>
    <w:p>
      <w:pPr>
        <w:spacing w:beforeLines="50" w:line="400" w:lineRule="exact"/>
        <w:rPr>
          <w:rFonts w:asciiTheme="minorEastAsia" w:hAnsiTheme="minorEastAsia"/>
          <w:sz w:val="28"/>
          <w:szCs w:val="28"/>
        </w:rPr>
      </w:pPr>
      <w:r>
        <w:rPr>
          <w:rFonts w:hint="eastAsia" w:asciiTheme="minorEastAsia" w:hAnsiTheme="minorEastAsia"/>
          <w:sz w:val="28"/>
          <w:szCs w:val="28"/>
        </w:rPr>
        <w:t>课程目标：本课程是面向全校大专学生开设的公共必修课程，是对高校学生进行创业教育的主渠道。通过“创业基础”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beforeLines="50" w:line="400" w:lineRule="exact"/>
        <w:rPr>
          <w:rFonts w:asciiTheme="minorEastAsia" w:hAnsiTheme="minorEastAsia"/>
          <w:sz w:val="28"/>
          <w:szCs w:val="28"/>
        </w:rPr>
      </w:pPr>
      <w:r>
        <w:rPr>
          <w:rFonts w:hint="eastAsia" w:asciiTheme="minorEastAsia" w:hAnsiTheme="minorEastAsia"/>
          <w:sz w:val="28"/>
          <w:szCs w:val="28"/>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5、体育</w:t>
      </w:r>
    </w:p>
    <w:p>
      <w:pPr>
        <w:spacing w:beforeLines="50" w:line="400" w:lineRule="exact"/>
        <w:rPr>
          <w:rFonts w:asciiTheme="minorEastAsia" w:hAnsiTheme="minorEastAsia"/>
          <w:sz w:val="28"/>
          <w:szCs w:val="28"/>
        </w:rPr>
      </w:pPr>
      <w:r>
        <w:rPr>
          <w:rFonts w:hint="eastAsia" w:asciiTheme="minorEastAsia" w:hAnsiTheme="minorEastAsia"/>
          <w:sz w:val="28"/>
          <w:szCs w:val="28"/>
        </w:rPr>
        <w:t>课程目标：体育课程是大学生以身体练习为主要手段，通过合理的体育教育和科学的体育锻炼过程，达到运动参与目标、运动技能目标、身体健康目标、心理健康目标和社会适应目标，最终达到增强体质、增进健康和提高体育素质的任务。</w:t>
      </w:r>
    </w:p>
    <w:p>
      <w:pPr>
        <w:spacing w:beforeLines="50" w:line="400" w:lineRule="exact"/>
        <w:rPr>
          <w:rFonts w:asciiTheme="minorEastAsia" w:hAnsiTheme="minorEastAsia"/>
          <w:sz w:val="28"/>
          <w:szCs w:val="28"/>
        </w:rPr>
      </w:pPr>
      <w:r>
        <w:rPr>
          <w:rFonts w:hint="eastAsia" w:asciiTheme="minorEastAsia" w:hAnsiTheme="minorEastAsia"/>
          <w:sz w:val="28"/>
          <w:szCs w:val="28"/>
        </w:rPr>
        <w:t>内容简介：根据全国普通高校体育教学指导纲要、学校体育工作条例的要求及我校实际情况，遵照健康第一的教育思想，开设定项体育与健康课程、选项体育与健康课程。定项课程根据学生专业对口选择体育课程项目及内容，选项课项目有：篮球、足球、排球、健美操、武术、太极拳、乒乓球、游泳等。</w:t>
      </w:r>
    </w:p>
    <w:p>
      <w:pPr>
        <w:spacing w:beforeLines="50" w:line="400" w:lineRule="exact"/>
        <w:outlineLvl w:val="9"/>
        <w:rPr>
          <w:rFonts w:hint="eastAsia" w:asciiTheme="minorEastAsia" w:hAnsiTheme="minorEastAsia" w:eastAsiaTheme="minorEastAsia"/>
          <w:sz w:val="28"/>
          <w:szCs w:val="28"/>
          <w:lang w:eastAsia="zh-CN"/>
        </w:rPr>
      </w:pPr>
      <w:r>
        <w:rPr>
          <w:rFonts w:hint="eastAsia" w:asciiTheme="minorEastAsia" w:hAnsiTheme="minorEastAsia"/>
          <w:sz w:val="28"/>
          <w:szCs w:val="28"/>
        </w:rPr>
        <w:t>6、</w:t>
      </w:r>
      <w:r>
        <w:rPr>
          <w:rFonts w:hint="eastAsia" w:asciiTheme="minorEastAsia" w:hAnsiTheme="minorEastAsia"/>
          <w:sz w:val="28"/>
          <w:szCs w:val="28"/>
          <w:lang w:val="en-US" w:eastAsia="zh-CN"/>
        </w:rPr>
        <w:t>信息技术</w:t>
      </w:r>
    </w:p>
    <w:p>
      <w:pPr>
        <w:spacing w:beforeLines="50" w:line="400" w:lineRule="exact"/>
        <w:rPr>
          <w:rFonts w:asciiTheme="minorEastAsia" w:hAnsiTheme="minorEastAsia"/>
          <w:sz w:val="28"/>
          <w:szCs w:val="28"/>
        </w:rPr>
      </w:pPr>
      <w:r>
        <w:rPr>
          <w:rFonts w:hint="eastAsia" w:asciiTheme="minorEastAsia" w:hAnsiTheme="minorEastAsia"/>
          <w:sz w:val="28"/>
          <w:szCs w:val="28"/>
        </w:rPr>
        <w:t>课程目标：信息技术基础课程是为全院各专业一年级学生开设的一门计算机公共课程，它是计算机的入门课，通过案例驱动式的项目教学活动，培养学生的信息素养与创新意识，使学生比较全面系统地掌握计算机的基础知识和基本应用技能。</w:t>
      </w:r>
    </w:p>
    <w:p>
      <w:pPr>
        <w:spacing w:beforeLines="50" w:line="400" w:lineRule="exact"/>
        <w:rPr>
          <w:rFonts w:asciiTheme="minorEastAsia" w:hAnsiTheme="minorEastAsia"/>
          <w:sz w:val="28"/>
          <w:szCs w:val="28"/>
        </w:rPr>
      </w:pPr>
      <w:r>
        <w:rPr>
          <w:rFonts w:hint="eastAsia" w:asciiTheme="minorEastAsia" w:hAnsiTheme="minorEastAsia"/>
          <w:sz w:val="28"/>
          <w:szCs w:val="28"/>
        </w:rPr>
        <w:t>内容简介：了解计算机的基本知识；熟练掌握操作系统的具体操作方法；熟练掌握 Office 办公软件中各组件的具体使用；了解计算机网络基础；熟练掌握 Internet 的应用，培养学生搜集资料、阅读资料、利用资料的能力，以及自学能力。</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7、大学生心理健康教育</w:t>
      </w:r>
    </w:p>
    <w:p>
      <w:pPr>
        <w:spacing w:beforeLines="50" w:line="400" w:lineRule="exact"/>
        <w:rPr>
          <w:rFonts w:asciiTheme="minorEastAsia" w:hAnsiTheme="minorEastAsia"/>
          <w:sz w:val="28"/>
          <w:szCs w:val="28"/>
        </w:rPr>
      </w:pPr>
      <w:r>
        <w:rPr>
          <w:rFonts w:hint="eastAsia" w:asciiTheme="minorEastAsia" w:hAnsiTheme="minorEastAsia"/>
          <w:sz w:val="28"/>
          <w:szCs w:val="28"/>
        </w:rPr>
        <w:t>课程目标：大学生心理健康教育课的目标是提高全体学生的心理素质，优化每一个学生的人格，帮助学生解决成长发展中的各种困惑及问题。通过对本课程的学习，使学生了解心理健康的价值和意义；普及心理健康的知识；掌握维护心理健康的方法和自我调适的策略。增强大学生的心理保健能力和社会适应能力，培养自我认知能力、人际沟通能力、自我调节能力，开发个体心理潜能，提高学生的心理素质，使全体学生都能得到全面而健康的发展。</w:t>
      </w:r>
    </w:p>
    <w:p>
      <w:pPr>
        <w:spacing w:beforeLines="50" w:line="400" w:lineRule="exact"/>
        <w:rPr>
          <w:rFonts w:asciiTheme="minorEastAsia" w:hAnsiTheme="minorEastAsia"/>
          <w:sz w:val="28"/>
          <w:szCs w:val="28"/>
        </w:rPr>
      </w:pPr>
      <w:r>
        <w:rPr>
          <w:rFonts w:hint="eastAsia" w:asciiTheme="minorEastAsia" w:hAnsiTheme="minorEastAsia"/>
          <w:sz w:val="28"/>
          <w:szCs w:val="28"/>
        </w:rPr>
        <w:t>内容简介：主要内容包括大学生的认知与心理健康、大学生的情商与心理健康、大学生的人格发展与心理健康、大学生的学习与心理健康、大学生的适应及挫折与心理健康、大学生的人际交往能力与心理健康、大学生恋爱及性与心理健康、互联网与大学生心理健康、大学生的心理障碍与心理健康、大学生的职业生涯规划与心理健康、大学生的生命意识教育与心理健康等内容。课程内容从多角度，全方位的对大学生心理健康素质进行教育。教会学生如何运用所学知识来解决生活中遇到的心理健康问题。</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8、大学英语</w:t>
      </w:r>
    </w:p>
    <w:p>
      <w:pPr>
        <w:spacing w:beforeLines="50" w:line="400" w:lineRule="exact"/>
        <w:rPr>
          <w:rFonts w:asciiTheme="minorEastAsia" w:hAnsiTheme="minorEastAsia"/>
          <w:sz w:val="28"/>
          <w:szCs w:val="28"/>
        </w:rPr>
      </w:pPr>
      <w:r>
        <w:rPr>
          <w:rFonts w:hint="eastAsia" w:asciiTheme="minorEastAsia" w:hAnsiTheme="minorEastAsia"/>
          <w:sz w:val="28"/>
          <w:szCs w:val="28"/>
        </w:rPr>
        <w:t>课程目标：培养学生在职场环境下运用英语的基本能力，使学生掌握一定的英语基础知识和技能，具有一定的听、说、读、写、译的能力，从而能借助词典阅读和翻译有关英语业务资料，在涉外交际的日常活动和业务活动中进行简单的口头和书面交流，满足学生作为职业人对语言交际的需要，并为今后进一步提高英语的交际能力打下基础。</w:t>
      </w:r>
    </w:p>
    <w:p>
      <w:pPr>
        <w:spacing w:beforeLines="50" w:line="400" w:lineRule="exact"/>
        <w:rPr>
          <w:rFonts w:asciiTheme="minorEastAsia" w:hAnsiTheme="minorEastAsia"/>
          <w:sz w:val="28"/>
          <w:szCs w:val="28"/>
        </w:rPr>
      </w:pPr>
      <w:r>
        <w:rPr>
          <w:rFonts w:hint="eastAsia" w:asciiTheme="minorEastAsia" w:hAnsiTheme="minorEastAsia"/>
          <w:sz w:val="28"/>
          <w:szCs w:val="28"/>
        </w:rPr>
        <w:t>内容简介：主要内容包括英语词汇的认知，在听、说、读、写、译中正确运用所学语法知识、对日常和涉外业务活动中使用的结构简单、发音清楚、语速较慢（每分钟100词左右）的英语对话听力和口语练习，以及中等难度的一般题材的简短英文资料阅读训练，80－100词的简短的英语应用文写作练习。</w:t>
      </w:r>
    </w:p>
    <w:p>
      <w:pPr>
        <w:spacing w:beforeLines="50" w:line="400" w:lineRule="exact"/>
        <w:outlineLvl w:val="2"/>
        <w:rPr>
          <w:rFonts w:asciiTheme="minorEastAsia" w:hAnsiTheme="minorEastAsia"/>
          <w:sz w:val="28"/>
          <w:szCs w:val="28"/>
        </w:rPr>
      </w:pPr>
      <w:r>
        <w:rPr>
          <w:rFonts w:hint="eastAsia" w:asciiTheme="minorEastAsia" w:hAnsiTheme="minorEastAsia"/>
          <w:sz w:val="28"/>
          <w:szCs w:val="28"/>
        </w:rPr>
        <w:t>（二）专业课程</w:t>
      </w:r>
    </w:p>
    <w:p>
      <w:pPr>
        <w:spacing w:beforeLines="50" w:line="400" w:lineRule="exact"/>
        <w:rPr>
          <w:rFonts w:asciiTheme="minorEastAsia" w:hAnsiTheme="minorEastAsia"/>
          <w:sz w:val="28"/>
          <w:szCs w:val="28"/>
        </w:rPr>
      </w:pPr>
      <w:r>
        <w:rPr>
          <w:rFonts w:hint="eastAsia" w:asciiTheme="minorEastAsia" w:hAnsiTheme="minorEastAsia"/>
          <w:sz w:val="28"/>
          <w:szCs w:val="28"/>
        </w:rPr>
        <w:t>主要有专业基础课程、专业核心课程和专业拓展课程。</w:t>
      </w:r>
    </w:p>
    <w:p>
      <w:pPr>
        <w:spacing w:beforeLines="50" w:line="400" w:lineRule="exact"/>
        <w:rPr>
          <w:rFonts w:asciiTheme="minorEastAsia" w:hAnsiTheme="minorEastAsia"/>
          <w:sz w:val="28"/>
          <w:szCs w:val="28"/>
        </w:rPr>
      </w:pPr>
      <w:r>
        <w:rPr>
          <w:rFonts w:hint="eastAsia" w:asciiTheme="minorEastAsia" w:hAnsiTheme="minorEastAsia"/>
          <w:sz w:val="28"/>
          <w:szCs w:val="28"/>
        </w:rPr>
        <w:t>专业基础课程：包括电工基础、电力法规、安全用电、单片机技术、电子线路CAD、电工技能实训、供配电技术。</w:t>
      </w:r>
    </w:p>
    <w:p>
      <w:pPr>
        <w:spacing w:beforeLines="50" w:line="400" w:lineRule="exact"/>
        <w:rPr>
          <w:rFonts w:asciiTheme="minorEastAsia" w:hAnsiTheme="minorEastAsia"/>
          <w:sz w:val="28"/>
          <w:szCs w:val="28"/>
        </w:rPr>
      </w:pPr>
      <w:r>
        <w:rPr>
          <w:rFonts w:hint="eastAsia" w:asciiTheme="minorEastAsia" w:hAnsiTheme="minorEastAsia"/>
          <w:sz w:val="28"/>
          <w:szCs w:val="28"/>
        </w:rPr>
        <w:t>专业核心课程：包括电机与电气控制技术、C语言程序设计、自动控制理论、电力电子技术、模拟电子技术、设备电气控制与维修、PLC控制线路运行维护、供配电技术、数字电子技术。</w:t>
      </w:r>
    </w:p>
    <w:p>
      <w:pPr>
        <w:spacing w:beforeLines="50" w:line="400" w:lineRule="exact"/>
        <w:rPr>
          <w:rFonts w:asciiTheme="minorEastAsia" w:hAnsiTheme="minorEastAsia"/>
          <w:sz w:val="28"/>
          <w:szCs w:val="28"/>
        </w:rPr>
      </w:pPr>
      <w:r>
        <w:rPr>
          <w:rFonts w:hint="eastAsia" w:asciiTheme="minorEastAsia" w:hAnsiTheme="minorEastAsia"/>
          <w:sz w:val="28"/>
          <w:szCs w:val="28"/>
        </w:rPr>
        <w:t>专业拓展课程：包括制冷与空调设备、发电厂变电站电气设备、楼宇综合布线。</w:t>
      </w:r>
    </w:p>
    <w:p>
      <w:pPr>
        <w:spacing w:beforeLines="50" w:line="400" w:lineRule="exact"/>
        <w:rPr>
          <w:rFonts w:hint="eastAsia" w:asciiTheme="minorEastAsia" w:hAnsiTheme="minorEastAsia"/>
          <w:sz w:val="28"/>
          <w:szCs w:val="28"/>
        </w:rPr>
      </w:pPr>
      <w:r>
        <w:rPr>
          <w:rFonts w:hint="eastAsia" w:asciiTheme="minorEastAsia" w:hAnsiTheme="minorEastAsia"/>
          <w:sz w:val="28"/>
          <w:szCs w:val="28"/>
        </w:rPr>
        <w:t>主要专业课介绍如下：</w:t>
      </w:r>
    </w:p>
    <w:p>
      <w:pPr>
        <w:spacing w:beforeLines="50" w:line="400" w:lineRule="exact"/>
        <w:rPr>
          <w:rFonts w:asciiTheme="minorEastAsia" w:hAnsiTheme="minorEastAsia"/>
          <w:sz w:val="28"/>
          <w:szCs w:val="28"/>
        </w:rPr>
      </w:pPr>
      <w:r>
        <w:rPr>
          <w:rFonts w:hint="eastAsia" w:asciiTheme="minorEastAsia" w:hAnsiTheme="minorEastAsia"/>
          <w:sz w:val="28"/>
          <w:szCs w:val="28"/>
          <w:lang w:val="en-US" w:eastAsia="zh-CN"/>
        </w:rPr>
        <w:t>1、</w:t>
      </w:r>
      <w:r>
        <w:rPr>
          <w:rFonts w:hint="eastAsia" w:asciiTheme="minorEastAsia" w:hAnsiTheme="minorEastAsia"/>
          <w:sz w:val="28"/>
          <w:szCs w:val="28"/>
        </w:rPr>
        <w:t>电工基础</w:t>
      </w:r>
    </w:p>
    <w:p>
      <w:pPr>
        <w:spacing w:beforeLines="50" w:line="400" w:lineRule="exact"/>
        <w:rPr>
          <w:rFonts w:asciiTheme="minorEastAsia" w:hAnsiTheme="minorEastAsia"/>
          <w:sz w:val="28"/>
          <w:szCs w:val="28"/>
        </w:rPr>
      </w:pPr>
      <w:r>
        <w:rPr>
          <w:rFonts w:hint="eastAsia" w:asciiTheme="minorEastAsia" w:hAnsiTheme="minorEastAsia"/>
          <w:sz w:val="28"/>
          <w:szCs w:val="28"/>
        </w:rPr>
        <w:t>课程目标：本课程是是介绍电子技术的基本理论、分析方法和实际应用的专业基础学科，是电气类及机电一体化专业的核心课程，在现代通信、智能交通、智能建筑等领域有着广泛的应用。在理论上，课程重在培养电子电路的读图分析能力和设计方法。在实践能力方面，课程旨在培养电子电路的实验方法和测试技能，让学生掌握采用EDA技术进行实验和电子电路设计仿真。通过电子技术基础课程的学习，学生不但可以掌握电子技术方面的基本理论、基本知识和基本技能，为后续课程的专业课学习创造条件，而且能够培养学生的综合应用能力、创新能力和电子电路计算分析、设计能力，使学生具备从实验中发现问题、分析问题及解决问题的能力，能为学生以后深入学习电子技术、专业知识应用及参与创新性的研发工作打下坚实的基础。</w:t>
      </w:r>
    </w:p>
    <w:p>
      <w:pPr>
        <w:spacing w:beforeLines="50" w:line="400" w:lineRule="exact"/>
        <w:rPr>
          <w:rFonts w:asciiTheme="minorEastAsia" w:hAnsiTheme="minorEastAsia"/>
          <w:sz w:val="28"/>
          <w:szCs w:val="28"/>
        </w:rPr>
      </w:pPr>
      <w:r>
        <w:rPr>
          <w:rFonts w:hint="eastAsia" w:asciiTheme="minorEastAsia" w:hAnsiTheme="minorEastAsia"/>
          <w:sz w:val="28"/>
          <w:szCs w:val="28"/>
        </w:rPr>
        <w:t>具体内容：包括半导体器件的特性、参数和模型，基本放大电路的组成及分析，集成运算放大电路的组成、特性及应用，数字电路基础，组合逻辑电路的设计与分析，时序逻辑电路的分析与设计，半导体存储器件分类、原理及扩展，可编程逻辑器件等，汇集电子技术经典理论及最新的电子技术。电子技术的应用遍及现代科学技术的诸多领域，尤其是计算机、通信、工业自动化控制、机电一体化等。</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2、电力法规</w:t>
      </w:r>
    </w:p>
    <w:p>
      <w:pPr>
        <w:spacing w:beforeLines="50" w:line="400" w:lineRule="exact"/>
        <w:rPr>
          <w:rFonts w:asciiTheme="minorEastAsia" w:hAnsiTheme="minorEastAsia"/>
          <w:sz w:val="28"/>
          <w:szCs w:val="28"/>
        </w:rPr>
      </w:pPr>
      <w:r>
        <w:rPr>
          <w:rFonts w:hint="eastAsia" w:asciiTheme="minorEastAsia" w:hAnsiTheme="minorEastAsia"/>
          <w:sz w:val="28"/>
          <w:szCs w:val="28"/>
        </w:rPr>
        <w:t>课程目标：本课程通过对《电力法》等电力相关法律法规的讲解，使学生增强守法意识，了解违法后果，对国家在电力方面的法律规定有清晰的认识，并以此警醒，使学生能够在走上工作岗位后成为谨慎细心、敬业负责的电力行业从业人员。</w:t>
      </w:r>
    </w:p>
    <w:p>
      <w:pPr>
        <w:spacing w:beforeLines="50" w:line="400" w:lineRule="exact"/>
        <w:rPr>
          <w:rFonts w:asciiTheme="minorEastAsia" w:hAnsiTheme="minorEastAsia"/>
          <w:sz w:val="28"/>
          <w:szCs w:val="28"/>
        </w:rPr>
      </w:pPr>
      <w:r>
        <w:rPr>
          <w:rFonts w:hint="eastAsia" w:asciiTheme="minorEastAsia" w:hAnsiTheme="minorEastAsia"/>
          <w:sz w:val="28"/>
          <w:szCs w:val="28"/>
        </w:rPr>
        <w:t>内容简介：主要讲述电力法总论、《电力法》简介、《电网调度管理条例》简介、《电力供应与使用条例》简介、《电力设施保护条例》简介、《电力监管条例》简介、相关法律对供用电的有关规定、常见的供用电法律纠纷的处理等内容。</w:t>
      </w:r>
    </w:p>
    <w:p>
      <w:pPr>
        <w:spacing w:beforeLines="50" w:line="400" w:lineRule="exact"/>
        <w:rPr>
          <w:rFonts w:asciiTheme="minorEastAsia" w:hAnsiTheme="minorEastAsia"/>
          <w:sz w:val="28"/>
          <w:szCs w:val="28"/>
        </w:rPr>
      </w:pPr>
      <w:r>
        <w:rPr>
          <w:rFonts w:hint="eastAsia" w:asciiTheme="minorEastAsia" w:hAnsiTheme="minorEastAsia"/>
          <w:sz w:val="28"/>
          <w:szCs w:val="28"/>
        </w:rPr>
        <w:t>教学要求：对于中国法律体系的内容做出充分讲解；对于相关法律法规的内容讲述到位；对于法律条文的设置给出适当解释；对于各类违法行为的后果及需负责任给与学生强调到位；教学过程中针对本课程条例繁多、内容枯燥等缺点，使用创新型的讲授方式，旨在提高学生学习兴趣，使学生足够重视本门课所涉及内容。</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3、电工技能实训</w:t>
      </w:r>
    </w:p>
    <w:p>
      <w:pPr>
        <w:spacing w:beforeLines="50" w:line="400" w:lineRule="exact"/>
        <w:rPr>
          <w:rFonts w:asciiTheme="minorEastAsia" w:hAnsiTheme="minorEastAsia"/>
          <w:sz w:val="28"/>
          <w:szCs w:val="28"/>
        </w:rPr>
      </w:pPr>
      <w:r>
        <w:rPr>
          <w:rFonts w:hint="eastAsia" w:asciiTheme="minorEastAsia" w:hAnsiTheme="minorEastAsia"/>
          <w:sz w:val="28"/>
          <w:szCs w:val="28"/>
        </w:rPr>
        <w:t>课程目标：本课程是机电类专业及电气类专业的综合实践课程，以教、学、做一体化设计教学为主。通过电工技能实训，使学生能正确处理一般电气设备安全用电事故，会正确识别和选用常用电气元件，会正确识别和使用电工工具及测量仪器，初步掌握电工操作的一般技能。</w:t>
      </w:r>
    </w:p>
    <w:p>
      <w:pPr>
        <w:spacing w:beforeLines="50" w:line="400" w:lineRule="exact"/>
        <w:rPr>
          <w:rFonts w:asciiTheme="minorEastAsia" w:hAnsiTheme="minorEastAsia"/>
          <w:sz w:val="28"/>
          <w:szCs w:val="28"/>
        </w:rPr>
      </w:pPr>
      <w:r>
        <w:rPr>
          <w:rFonts w:hint="eastAsia" w:asciiTheme="minorEastAsia" w:hAnsiTheme="minorEastAsia"/>
          <w:sz w:val="28"/>
          <w:szCs w:val="28"/>
        </w:rPr>
        <w:t>内容简介：本课程包括用电事故应急处理技能训练、常用电工工具及仪表的使用技能训练、导线连接及绝缘层恢复技能训练、照明电路的安装调试与维修技能训练等。</w:t>
      </w:r>
    </w:p>
    <w:p>
      <w:pPr>
        <w:spacing w:beforeLines="50" w:line="400" w:lineRule="exact"/>
        <w:rPr>
          <w:rFonts w:asciiTheme="minorEastAsia" w:hAnsiTheme="minorEastAsia"/>
          <w:sz w:val="28"/>
          <w:szCs w:val="28"/>
        </w:rPr>
      </w:pPr>
      <w:r>
        <w:rPr>
          <w:rFonts w:hint="eastAsia" w:asciiTheme="minorEastAsia" w:hAnsiTheme="minorEastAsia"/>
          <w:sz w:val="28"/>
          <w:szCs w:val="28"/>
        </w:rPr>
        <w:t>教学要求：以“项目为主线，任务为主题”，采用“项目导向、任务驱动”相结合的教学模式，实现教、学、做、练一体化。为加强学生创造思维和工程技术素质的培养，根据学生个性特点与发展的需要，本门课程可灵活采用全班学习、分组学习等学习形式，也可以组建课外兴趣小组进行知识拓展学习。以照明电路的安装为主线，以电工工具、仪表的正确使用为基础，设计课程的教学项目。依托电工实训室，按照实际生产要求，将各项标准化、规范化的操作方法融入实做训练的教学内容中。培养学生的实践技能、工程素质以及岗位适应能力。教学过程中，有针对性地运用多媒体教学、实物教学、现场教学、网络教学等多种教学手段优化教学过程，有效地激发学生学习热情，充分发挥学生主体作用。</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4、工厂供配电技术</w:t>
      </w:r>
    </w:p>
    <w:p>
      <w:pPr>
        <w:spacing w:beforeLines="50" w:line="400" w:lineRule="exact"/>
        <w:rPr>
          <w:rFonts w:asciiTheme="minorEastAsia" w:hAnsiTheme="minorEastAsia"/>
          <w:sz w:val="28"/>
          <w:szCs w:val="28"/>
        </w:rPr>
      </w:pPr>
      <w:r>
        <w:rPr>
          <w:rFonts w:hint="eastAsia" w:asciiTheme="minorEastAsia" w:hAnsiTheme="minorEastAsia"/>
          <w:sz w:val="28"/>
          <w:szCs w:val="28"/>
        </w:rPr>
        <w:t>课程目标：课程是中等职业技术学校电气专业重要的核心课程。通过本课程的学习和实践，使学生熟悉企业供配电系统的设备、接线、结构、原理，初步掌握变配电系统的安全运行及管理，电气设备的操作与维护，供电系统故障分析和排除的技能。养成规范、文明的工作习惯，从而基本具备供配电系统岗位群所需的职业素养。</w:t>
      </w:r>
    </w:p>
    <w:p>
      <w:pPr>
        <w:spacing w:beforeLines="50" w:line="400" w:lineRule="exact"/>
        <w:rPr>
          <w:rFonts w:asciiTheme="minorEastAsia" w:hAnsiTheme="minorEastAsia"/>
          <w:sz w:val="28"/>
          <w:szCs w:val="28"/>
        </w:rPr>
      </w:pPr>
      <w:r>
        <w:rPr>
          <w:rFonts w:hint="eastAsia" w:asciiTheme="minorEastAsia" w:hAnsiTheme="minorEastAsia"/>
          <w:sz w:val="28"/>
          <w:szCs w:val="28"/>
        </w:rPr>
        <w:t>内容简介：本课程主要包括供配电系统概述、供配电一次设备及其选择、供配电线路设计与敷设、供配电系统保护、供配电系统的二次回路与自动装置、电力负荷及短路电流的计算、供配电系统的运行管理与维护等。通过本课程的学习，使学生掌握工厂供配电技术的基本知识和基本技能，初步形成解决生产现场实际问题的能力；培养学生的思维能力和团队协作能力，培养学生学习与新技术的能力；提高学生的综合素质，培养创新意识。</w:t>
      </w:r>
    </w:p>
    <w:p>
      <w:pPr>
        <w:spacing w:beforeLines="50" w:line="400" w:lineRule="exact"/>
        <w:rPr>
          <w:rFonts w:asciiTheme="minorEastAsia" w:hAnsiTheme="minorEastAsia"/>
          <w:sz w:val="28"/>
          <w:szCs w:val="28"/>
        </w:rPr>
      </w:pPr>
      <w:r>
        <w:rPr>
          <w:rFonts w:hint="eastAsia" w:asciiTheme="minorEastAsia" w:hAnsiTheme="minorEastAsia"/>
          <w:sz w:val="28"/>
          <w:szCs w:val="28"/>
        </w:rPr>
        <w:t>教学要求：着重培养学生电气设备的操作与维护、供电系统故障分析与排除能力，使其具备供配电技术知识。以工作过程为中心选择和组织课程内容，分为三大技术模块，每个模块按生产运行系统设置若干项目，在各个项目中按岗位的需求组织体现相应知识和技能的具体任务，最后以任务引领教学过程，通过讲练结合、学做相辅、形成理论实践一体化、知识融会贯通，让学生有效地掌握供配电技术的知识和能力。</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5、电子线路CAD</w:t>
      </w:r>
    </w:p>
    <w:p>
      <w:pPr>
        <w:spacing w:beforeLines="50" w:line="400" w:lineRule="exact"/>
        <w:rPr>
          <w:rFonts w:asciiTheme="minorEastAsia" w:hAnsiTheme="minorEastAsia"/>
          <w:sz w:val="28"/>
          <w:szCs w:val="28"/>
        </w:rPr>
      </w:pPr>
      <w:r>
        <w:rPr>
          <w:rFonts w:hint="eastAsia" w:asciiTheme="minorEastAsia" w:hAnsiTheme="minorEastAsia"/>
          <w:sz w:val="28"/>
          <w:szCs w:val="28"/>
        </w:rPr>
        <w:t>课程目标：本课程是高等院校电子信息技术，通信工程等相关专业的必修课程，是为培养学生的基础理论知识和基本技能训练而设置的。通过本课程的学习与实践，使学生掌握原理图及印刷电路板图的编辑、输出、网表生成、检查、分析，打印及建立新原理图、印刷电路板图库等。通过设计实验学生可以独立实现手动和自动布线印刷电路板的设计，为今后在工作中的实际应用打下较为坚实的基础。</w:t>
      </w:r>
    </w:p>
    <w:p>
      <w:pPr>
        <w:spacing w:beforeLines="50" w:line="400" w:lineRule="exact"/>
        <w:rPr>
          <w:rFonts w:asciiTheme="minorEastAsia" w:hAnsiTheme="minorEastAsia"/>
          <w:sz w:val="28"/>
          <w:szCs w:val="28"/>
        </w:rPr>
      </w:pPr>
      <w:r>
        <w:rPr>
          <w:rFonts w:hint="eastAsia" w:asciiTheme="minorEastAsia" w:hAnsiTheme="minorEastAsia"/>
          <w:sz w:val="28"/>
          <w:szCs w:val="28"/>
        </w:rPr>
        <w:t>内容简介：课程以训练学生的电气制图与识图技能为核心，以工作过程为导向，依托AutoCAD制图软件，详细讲述AutoCAD系统操作方法、电气工程涉及的常用电气图的基础知识、典型电气图的绘制方法与技巧等内容。使学生正确的掌握阅读电气图和绘制电气图的能力。</w:t>
      </w:r>
    </w:p>
    <w:p>
      <w:pPr>
        <w:spacing w:beforeLines="50" w:line="400" w:lineRule="exact"/>
        <w:rPr>
          <w:rFonts w:asciiTheme="minorEastAsia" w:hAnsiTheme="minorEastAsia"/>
          <w:sz w:val="28"/>
          <w:szCs w:val="28"/>
        </w:rPr>
      </w:pPr>
      <w:r>
        <w:rPr>
          <w:rFonts w:hint="eastAsia" w:asciiTheme="minorEastAsia" w:hAnsiTheme="minorEastAsia"/>
          <w:sz w:val="28"/>
          <w:szCs w:val="28"/>
        </w:rPr>
        <w:t>教学要求：本课程以Altium Designer 10为电子线路CAD的实践教学平台，使电子技术相关专业的学生熟悉和掌握电子线路CAD发展的最新趋势，掌握业内主流电子设计工具的应用，综合运用最新的电子设计技术，充分发挥学生的自主创新意识和提升学生的实践动手能力，确保学生能灵活地将原先不同学科的电子设计知识融会贯通，从而为学生提供更多对课本知识感性认识的机会。</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6、C语言程序设计</w:t>
      </w:r>
    </w:p>
    <w:p>
      <w:pPr>
        <w:spacing w:beforeLines="50" w:line="400" w:lineRule="exact"/>
        <w:rPr>
          <w:rFonts w:asciiTheme="minorEastAsia" w:hAnsiTheme="minorEastAsia"/>
          <w:sz w:val="28"/>
          <w:szCs w:val="28"/>
        </w:rPr>
      </w:pPr>
      <w:r>
        <w:rPr>
          <w:rFonts w:hint="eastAsia" w:asciiTheme="minorEastAsia" w:hAnsiTheme="minorEastAsia"/>
          <w:sz w:val="28"/>
          <w:szCs w:val="28"/>
        </w:rPr>
        <w:t>课程目标：本课程是高职电气自动化技术专业的专业基础课程。C语言程序设计是高等院校计算机专业及相关专业重要的专业基础课，其目的是培养学生的程序设计理念、掌握程序设计的基本方法，为后续课程打下坚实的基础。</w:t>
      </w:r>
    </w:p>
    <w:p>
      <w:pPr>
        <w:spacing w:beforeLines="50" w:line="400" w:lineRule="exact"/>
        <w:rPr>
          <w:rFonts w:asciiTheme="minorEastAsia" w:hAnsiTheme="minorEastAsia"/>
          <w:sz w:val="28"/>
          <w:szCs w:val="28"/>
        </w:rPr>
      </w:pPr>
      <w:r>
        <w:rPr>
          <w:rFonts w:hint="eastAsia" w:asciiTheme="minorEastAsia" w:hAnsiTheme="minorEastAsia"/>
          <w:sz w:val="28"/>
          <w:szCs w:val="28"/>
        </w:rPr>
        <w:t>内容简介：主要内容包括结构化编程思想入门，设计流程图，数据类型、运算符和表达式，输入输出函数，顺序结构、选择结构和循环结构，数组、函数和指针等。</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7、电机与电气控制技术</w:t>
      </w:r>
    </w:p>
    <w:p>
      <w:pPr>
        <w:spacing w:beforeLines="50" w:line="400" w:lineRule="exact"/>
        <w:rPr>
          <w:rFonts w:asciiTheme="minorEastAsia" w:hAnsiTheme="minorEastAsia"/>
          <w:sz w:val="28"/>
          <w:szCs w:val="28"/>
        </w:rPr>
      </w:pPr>
      <w:r>
        <w:rPr>
          <w:rFonts w:hint="eastAsia" w:asciiTheme="minorEastAsia" w:hAnsiTheme="minorEastAsia"/>
          <w:sz w:val="28"/>
          <w:szCs w:val="28"/>
        </w:rPr>
        <w:t>课程目标：本课程是高职电气自动化技术专业的专业核心课程。通过本课程的学习，主要使学生掌握常用电机设备的结构、工作原理，掌握低压电器的工作原理及选型，具有直流电动机及三相异步电动机运行控制与检修能力，具有电气控制系统的制作、调试、运行维护能力，熟悉电气安全操作规程，了解电气施工工艺编制。</w:t>
      </w:r>
    </w:p>
    <w:p>
      <w:pPr>
        <w:spacing w:beforeLines="50" w:line="400" w:lineRule="exact"/>
        <w:rPr>
          <w:rFonts w:asciiTheme="minorEastAsia" w:hAnsiTheme="minorEastAsia"/>
          <w:sz w:val="28"/>
          <w:szCs w:val="28"/>
        </w:rPr>
      </w:pPr>
      <w:r>
        <w:rPr>
          <w:rFonts w:hint="eastAsia" w:asciiTheme="minorEastAsia" w:hAnsiTheme="minorEastAsia"/>
          <w:sz w:val="28"/>
          <w:szCs w:val="28"/>
        </w:rPr>
        <w:t>内容简介：主要内容包括交流备用电源切换线路制作，220V/36V小型变压器制作，常用电机拆装及检修，直流电动机、三相异步电动机电气控制线路的制作及调试，万能铣床控制系统的制作调试与维护等。</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8、PLC控制线路运行维护</w:t>
      </w:r>
    </w:p>
    <w:p>
      <w:pPr>
        <w:spacing w:beforeLines="50" w:line="400" w:lineRule="exact"/>
        <w:rPr>
          <w:rFonts w:asciiTheme="minorEastAsia" w:hAnsiTheme="minorEastAsia"/>
          <w:sz w:val="28"/>
          <w:szCs w:val="28"/>
        </w:rPr>
      </w:pPr>
      <w:r>
        <w:rPr>
          <w:rFonts w:hint="eastAsia" w:asciiTheme="minorEastAsia" w:hAnsiTheme="minorEastAsia"/>
          <w:sz w:val="28"/>
          <w:szCs w:val="28"/>
        </w:rPr>
        <w:t>课程目标：本课程是高职电气自动化技术专业的专业核心课程。通过本课程的学习，主要使学生掌握PLC的I/O端口分配与外围设备连接，熟悉PLC编程指令，掌握PLC程序编制方法，具备PLC控制系统设计与规划能力，具备PLC控制系统安装、调试、维护能力，熟悉国家相关标准和行业规范，具有技术资料编写能力。</w:t>
      </w:r>
    </w:p>
    <w:p>
      <w:pPr>
        <w:spacing w:beforeLines="50" w:line="400" w:lineRule="exact"/>
        <w:rPr>
          <w:rFonts w:asciiTheme="minorEastAsia" w:hAnsiTheme="minorEastAsia"/>
          <w:sz w:val="28"/>
          <w:szCs w:val="28"/>
        </w:rPr>
      </w:pPr>
      <w:r>
        <w:rPr>
          <w:rFonts w:hint="eastAsia" w:asciiTheme="minorEastAsia" w:hAnsiTheme="minorEastAsia"/>
          <w:sz w:val="28"/>
          <w:szCs w:val="28"/>
        </w:rPr>
        <w:t>内容简介：主要内容包括.PLC编程方法、编程软件与编程器，摇臂钻床机床控制线路的PLC改造，运料小车自动往返PLC控制系统的设计、安装、调试与维护，工业机械手PLC控制系统设计、安装、调试与维护，交通灯、霓虹灯PLC控制系统的设计、安装、调试与维护。</w:t>
      </w:r>
    </w:p>
    <w:p>
      <w:pPr>
        <w:spacing w:beforeLines="50" w:line="400" w:lineRule="exact"/>
        <w:outlineLvl w:val="2"/>
        <w:rPr>
          <w:rFonts w:asciiTheme="minorEastAsia" w:hAnsiTheme="minorEastAsia"/>
          <w:sz w:val="28"/>
          <w:szCs w:val="28"/>
        </w:rPr>
      </w:pPr>
      <w:r>
        <w:rPr>
          <w:rFonts w:hint="eastAsia" w:asciiTheme="minorEastAsia" w:hAnsiTheme="minorEastAsia"/>
          <w:sz w:val="28"/>
          <w:szCs w:val="28"/>
        </w:rPr>
        <w:t>（三）实习</w:t>
      </w:r>
      <w:r>
        <w:rPr>
          <w:rFonts w:asciiTheme="minorEastAsia" w:hAnsiTheme="minorEastAsia"/>
          <w:sz w:val="28"/>
          <w:szCs w:val="28"/>
        </w:rPr>
        <w:t>实训教学活动</w:t>
      </w:r>
    </w:p>
    <w:p>
      <w:pPr>
        <w:spacing w:beforeLines="50" w:line="400" w:lineRule="exact"/>
        <w:rPr>
          <w:rFonts w:asciiTheme="minorEastAsia" w:hAnsiTheme="minorEastAsia"/>
          <w:sz w:val="28"/>
          <w:szCs w:val="28"/>
        </w:rPr>
      </w:pPr>
      <w:r>
        <w:rPr>
          <w:rFonts w:hint="eastAsia" w:asciiTheme="minorEastAsia" w:hAnsiTheme="minorEastAsia"/>
          <w:sz w:val="28"/>
          <w:szCs w:val="28"/>
        </w:rPr>
        <w:t>入学教育：1学分，新生入学第1-2周进行，8学时，（含专业导论4学时）</w:t>
      </w:r>
    </w:p>
    <w:p>
      <w:pPr>
        <w:spacing w:beforeLines="50" w:line="400" w:lineRule="exact"/>
        <w:rPr>
          <w:rFonts w:asciiTheme="minorEastAsia" w:hAnsiTheme="minorEastAsia"/>
          <w:sz w:val="28"/>
          <w:szCs w:val="28"/>
        </w:rPr>
      </w:pPr>
      <w:r>
        <w:rPr>
          <w:rFonts w:hint="eastAsia" w:asciiTheme="minorEastAsia" w:hAnsiTheme="minorEastAsia"/>
          <w:sz w:val="28"/>
          <w:szCs w:val="28"/>
        </w:rPr>
        <w:t>军事训练：2学分，2周，第1学期第1-2周进行。</w:t>
      </w:r>
    </w:p>
    <w:p>
      <w:pPr>
        <w:spacing w:beforeLines="50" w:line="400" w:lineRule="exact"/>
        <w:rPr>
          <w:rFonts w:asciiTheme="minorEastAsia" w:hAnsiTheme="minorEastAsia"/>
          <w:sz w:val="28"/>
          <w:szCs w:val="28"/>
        </w:rPr>
      </w:pPr>
      <w:r>
        <w:rPr>
          <w:rFonts w:hint="eastAsia" w:asciiTheme="minorEastAsia" w:hAnsiTheme="minorEastAsia"/>
          <w:sz w:val="28"/>
          <w:szCs w:val="28"/>
        </w:rPr>
        <w:t>社会实践：2学分，根据情况安排在第2、第3学期第</w:t>
      </w:r>
      <w:r>
        <w:rPr>
          <w:rFonts w:asciiTheme="minorEastAsia" w:hAnsiTheme="minorEastAsia"/>
          <w:sz w:val="28"/>
          <w:szCs w:val="28"/>
        </w:rPr>
        <w:t>X</w:t>
      </w:r>
      <w:r>
        <w:rPr>
          <w:rFonts w:hint="eastAsia" w:asciiTheme="minorEastAsia" w:hAnsiTheme="minorEastAsia"/>
          <w:sz w:val="28"/>
          <w:szCs w:val="28"/>
        </w:rPr>
        <w:t>周进行。</w:t>
      </w:r>
    </w:p>
    <w:p>
      <w:pPr>
        <w:spacing w:beforeLines="50" w:line="400" w:lineRule="exact"/>
        <w:rPr>
          <w:rFonts w:asciiTheme="minorEastAsia" w:hAnsiTheme="minorEastAsia"/>
          <w:sz w:val="28"/>
          <w:szCs w:val="28"/>
        </w:rPr>
      </w:pPr>
      <w:r>
        <w:rPr>
          <w:rFonts w:hint="eastAsia" w:asciiTheme="minorEastAsia" w:hAnsiTheme="minorEastAsia"/>
          <w:sz w:val="28"/>
          <w:szCs w:val="28"/>
        </w:rPr>
        <w:t>金工实习</w:t>
      </w:r>
      <w:r>
        <w:rPr>
          <w:rFonts w:asciiTheme="minorEastAsia" w:hAnsiTheme="minorEastAsia"/>
          <w:sz w:val="28"/>
          <w:szCs w:val="28"/>
        </w:rPr>
        <w:t>：</w:t>
      </w:r>
      <w:r>
        <w:rPr>
          <w:rFonts w:hint="eastAsia" w:asciiTheme="minorEastAsia" w:hAnsiTheme="minorEastAsia"/>
          <w:sz w:val="28"/>
          <w:szCs w:val="28"/>
        </w:rPr>
        <w:t>2学分</w:t>
      </w:r>
      <w:r>
        <w:rPr>
          <w:rFonts w:asciiTheme="minorEastAsia" w:hAnsiTheme="minorEastAsia"/>
          <w:sz w:val="28"/>
          <w:szCs w:val="28"/>
        </w:rPr>
        <w:t>，</w:t>
      </w:r>
      <w:r>
        <w:rPr>
          <w:rFonts w:hint="eastAsia" w:asciiTheme="minorEastAsia" w:hAnsiTheme="minorEastAsia"/>
          <w:sz w:val="28"/>
          <w:szCs w:val="28"/>
        </w:rPr>
        <w:t>2周</w:t>
      </w:r>
      <w:r>
        <w:rPr>
          <w:rFonts w:asciiTheme="minorEastAsia" w:hAnsiTheme="minorEastAsia"/>
          <w:sz w:val="28"/>
          <w:szCs w:val="28"/>
        </w:rPr>
        <w:t>，</w:t>
      </w:r>
      <w:r>
        <w:rPr>
          <w:rFonts w:hint="eastAsia" w:asciiTheme="minorEastAsia" w:hAnsiTheme="minorEastAsia"/>
          <w:sz w:val="28"/>
          <w:szCs w:val="28"/>
        </w:rPr>
        <w:t>第</w:t>
      </w:r>
      <w:r>
        <w:rPr>
          <w:rFonts w:asciiTheme="minorEastAsia" w:hAnsiTheme="minorEastAsia"/>
          <w:sz w:val="28"/>
          <w:szCs w:val="28"/>
        </w:rPr>
        <w:t>2</w:t>
      </w:r>
      <w:r>
        <w:rPr>
          <w:rFonts w:hint="eastAsia" w:asciiTheme="minorEastAsia" w:hAnsiTheme="minorEastAsia"/>
          <w:sz w:val="28"/>
          <w:szCs w:val="28"/>
        </w:rPr>
        <w:t>学期进行。</w:t>
      </w:r>
    </w:p>
    <w:p>
      <w:pPr>
        <w:spacing w:beforeLines="50" w:line="400" w:lineRule="exact"/>
        <w:rPr>
          <w:rFonts w:asciiTheme="minorEastAsia" w:hAnsiTheme="minorEastAsia"/>
          <w:sz w:val="28"/>
          <w:szCs w:val="28"/>
        </w:rPr>
      </w:pPr>
      <w:r>
        <w:rPr>
          <w:rFonts w:hint="eastAsia" w:asciiTheme="minorEastAsia" w:hAnsiTheme="minorEastAsia"/>
          <w:sz w:val="28"/>
          <w:szCs w:val="28"/>
        </w:rPr>
        <w:t>顶岗实习：26学分，26周，第5-6学期进行，顶岗实习考核合格方可获得相应学分。</w:t>
      </w:r>
    </w:p>
    <w:p>
      <w:pPr>
        <w:spacing w:beforeLines="50" w:line="400" w:lineRule="exact"/>
        <w:rPr>
          <w:rFonts w:hint="eastAsia" w:asciiTheme="minorEastAsia" w:hAnsiTheme="minorEastAsia"/>
          <w:sz w:val="28"/>
          <w:szCs w:val="28"/>
        </w:rPr>
      </w:pPr>
      <w:r>
        <w:rPr>
          <w:rFonts w:hint="eastAsia" w:asciiTheme="minorEastAsia" w:hAnsiTheme="minorEastAsia"/>
          <w:sz w:val="28"/>
          <w:szCs w:val="28"/>
        </w:rPr>
        <w:t>毕业论文（设计），2学分，第6学期进行。</w:t>
      </w:r>
    </w:p>
    <w:p>
      <w:pPr>
        <w:spacing w:before="61" w:line="224" w:lineRule="auto"/>
        <w:outlineLvl w:val="0"/>
        <w:rPr>
          <w:rFonts w:hint="eastAsia" w:ascii="宋体" w:hAnsi="宋体" w:eastAsia="宋体" w:cs="宋体"/>
          <w:b/>
          <w:bCs/>
          <w:sz w:val="29"/>
          <w:szCs w:val="29"/>
        </w:rPr>
      </w:pPr>
      <w:r>
        <w:rPr>
          <w:rFonts w:hint="eastAsia" w:ascii="宋体" w:hAnsi="宋体" w:eastAsia="宋体" w:cs="宋体"/>
          <w:b/>
          <w:bCs/>
          <w:spacing w:val="8"/>
          <w:sz w:val="29"/>
          <w:szCs w:val="29"/>
          <w:lang w:val="en-US" w:eastAsia="zh-CN"/>
        </w:rPr>
        <w:t>三、</w:t>
      </w:r>
      <w:r>
        <w:rPr>
          <w:rFonts w:hint="eastAsia" w:ascii="宋体" w:hAnsi="宋体" w:eastAsia="宋体" w:cs="宋体"/>
          <w:b/>
          <w:bCs/>
          <w:spacing w:val="8"/>
          <w:sz w:val="29"/>
          <w:szCs w:val="29"/>
        </w:rPr>
        <w:t>教学基本条件</w:t>
      </w:r>
    </w:p>
    <w:p>
      <w:pPr>
        <w:spacing w:beforeLines="50" w:line="400" w:lineRule="exact"/>
        <w:outlineLvl w:val="1"/>
        <w:rPr>
          <w:rFonts w:asciiTheme="minorEastAsia" w:hAnsiTheme="minorEastAsia"/>
          <w:sz w:val="28"/>
          <w:szCs w:val="28"/>
        </w:rPr>
      </w:pPr>
      <w:r>
        <w:rPr>
          <w:rFonts w:hint="eastAsia" w:asciiTheme="minorEastAsia" w:hAnsiTheme="minorEastAsia"/>
          <w:sz w:val="28"/>
          <w:szCs w:val="28"/>
        </w:rPr>
        <w:t>（一）师资队伍</w:t>
      </w:r>
    </w:p>
    <w:p>
      <w:pPr>
        <w:spacing w:beforeLines="50" w:line="400" w:lineRule="exact"/>
        <w:rPr>
          <w:rFonts w:asciiTheme="minorEastAsia" w:hAnsiTheme="minorEastAsia"/>
          <w:sz w:val="28"/>
          <w:szCs w:val="28"/>
        </w:rPr>
      </w:pPr>
      <w:r>
        <w:rPr>
          <w:rFonts w:hint="eastAsia" w:asciiTheme="minorEastAsia" w:hAnsiTheme="minorEastAsia"/>
          <w:sz w:val="28"/>
          <w:szCs w:val="28"/>
        </w:rPr>
        <w:t>本专业现有专任教师19人，均为本科以上学历，其中高级职称3人，中级职称4人，“双师型”教师8人。组建了模块化教学的专业教师团队，团队成员相互协作，彼此学习，多名教师获得省级职业院校技能大赛教学能力二等奖、三等奖，还多次辅导学生获得省级文明风采创新创业比赛奖项。专业教师每年按要求积极参加企业实践学习或各种专题培训，全年累计学习和培训时间不少于一个月。师资队伍数量充足、结构基本合理，完全能够胜任本专业的教学需要。</w:t>
      </w:r>
    </w:p>
    <w:p>
      <w:pPr>
        <w:spacing w:beforeLines="50" w:line="400" w:lineRule="exact"/>
        <w:outlineLvl w:val="1"/>
        <w:rPr>
          <w:rFonts w:asciiTheme="minorEastAsia" w:hAnsiTheme="minorEastAsia"/>
          <w:sz w:val="28"/>
          <w:szCs w:val="28"/>
        </w:rPr>
      </w:pPr>
      <w:r>
        <w:rPr>
          <w:rFonts w:hint="eastAsia" w:asciiTheme="minorEastAsia" w:hAnsiTheme="minorEastAsia"/>
          <w:sz w:val="28"/>
          <w:szCs w:val="28"/>
        </w:rPr>
        <w:t>（二）教学设施</w:t>
      </w:r>
    </w:p>
    <w:p>
      <w:pPr>
        <w:spacing w:beforeLines="50" w:line="400" w:lineRule="exact"/>
        <w:rPr>
          <w:rFonts w:asciiTheme="minorEastAsia" w:hAnsiTheme="minorEastAsia"/>
          <w:sz w:val="28"/>
          <w:szCs w:val="28"/>
        </w:rPr>
      </w:pPr>
      <w:r>
        <w:rPr>
          <w:rFonts w:hint="eastAsia" w:asciiTheme="minorEastAsia" w:hAnsiTheme="minorEastAsia"/>
          <w:sz w:val="28"/>
          <w:szCs w:val="28"/>
        </w:rPr>
        <w:t>拥有电工技能实训室、计算机辅助实训室、机械加工实训车间、钳工实训车间、数控车铣实训车间、PLC实训室、单片机实训室等校内外实训基地近20个，校内实训室设备占地面积1000多平方米，实训实习设备1500多万元，具有充分满足模块化教学及电气自动化相关证书培训的条件及能力，并与河南龙翔电气股份有限公司建立了稳固的校企合作关系，积极开展学生顶岗实习等工作。</w:t>
      </w:r>
    </w:p>
    <w:p>
      <w:pPr>
        <w:spacing w:beforeLines="50" w:line="400" w:lineRule="exact"/>
        <w:outlineLvl w:val="1"/>
        <w:rPr>
          <w:rFonts w:asciiTheme="minorEastAsia" w:hAnsiTheme="minorEastAsia"/>
          <w:sz w:val="28"/>
          <w:szCs w:val="28"/>
        </w:rPr>
      </w:pPr>
      <w:r>
        <w:rPr>
          <w:rFonts w:hint="eastAsia" w:asciiTheme="minorEastAsia" w:hAnsiTheme="minorEastAsia"/>
          <w:sz w:val="28"/>
          <w:szCs w:val="28"/>
        </w:rPr>
        <w:t>（三）教学资源</w:t>
      </w:r>
    </w:p>
    <w:p>
      <w:pPr>
        <w:spacing w:beforeLines="50" w:line="400" w:lineRule="exact"/>
        <w:rPr>
          <w:rFonts w:asciiTheme="minorEastAsia" w:hAnsiTheme="minorEastAsia"/>
          <w:sz w:val="28"/>
          <w:szCs w:val="28"/>
        </w:rPr>
      </w:pPr>
      <w:r>
        <w:rPr>
          <w:rFonts w:hint="eastAsia" w:asciiTheme="minorEastAsia" w:hAnsiTheme="minorEastAsia"/>
          <w:sz w:val="28"/>
          <w:szCs w:val="28"/>
        </w:rPr>
        <w:t>本专业教学主要采用国家规划教材、省规划教材及行业规划教材，每年学院图书馆和系部采购部分专业参考图书资料，供学生及教师学习参考。在网络资源方面，利用资格证考试辅导平台、精品在线开放课程等，为师生搭建了网络教学平台，为学生提供电子教案、网络视频、实训项目题库等在线学习资源，满足学生专业学习、教师专业教学研究、教学实施和社会服务需要。</w:t>
      </w:r>
    </w:p>
    <w:p>
      <w:pPr>
        <w:spacing w:beforeLines="50" w:line="400" w:lineRule="exact"/>
        <w:outlineLvl w:val="1"/>
        <w:rPr>
          <w:rFonts w:asciiTheme="minorEastAsia" w:hAnsiTheme="minorEastAsia"/>
          <w:sz w:val="28"/>
          <w:szCs w:val="28"/>
        </w:rPr>
      </w:pPr>
      <w:r>
        <w:rPr>
          <w:rFonts w:hint="eastAsia" w:asciiTheme="minorEastAsia" w:hAnsiTheme="minorEastAsia"/>
          <w:sz w:val="28"/>
          <w:szCs w:val="28"/>
        </w:rPr>
        <w:t>（四）教学方法</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 xml:space="preserve">1.任务驱动法 </w:t>
      </w:r>
    </w:p>
    <w:p>
      <w:pPr>
        <w:spacing w:beforeLines="50" w:line="400" w:lineRule="exact"/>
        <w:rPr>
          <w:rFonts w:asciiTheme="minorEastAsia" w:hAnsiTheme="minorEastAsia"/>
          <w:sz w:val="28"/>
          <w:szCs w:val="28"/>
        </w:rPr>
      </w:pPr>
      <w:r>
        <w:rPr>
          <w:rFonts w:hint="eastAsia" w:asciiTheme="minorEastAsia" w:hAnsiTheme="minorEastAsia"/>
          <w:sz w:val="28"/>
          <w:szCs w:val="28"/>
        </w:rPr>
        <w:t xml:space="preserve">任务驱动教学法可以让学生在完成“任务”的过程中，培养分析问题、解决问题的能力，培养学生独立探索及合作精神。 </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 xml:space="preserve">2.现场教学法 </w:t>
      </w:r>
    </w:p>
    <w:p>
      <w:pPr>
        <w:spacing w:beforeLines="50" w:line="400" w:lineRule="exact"/>
        <w:rPr>
          <w:rFonts w:asciiTheme="minorEastAsia" w:hAnsiTheme="minorEastAsia"/>
          <w:sz w:val="28"/>
          <w:szCs w:val="28"/>
        </w:rPr>
      </w:pPr>
      <w:r>
        <w:rPr>
          <w:rFonts w:hint="eastAsia" w:asciiTheme="minorEastAsia" w:hAnsiTheme="minorEastAsia"/>
          <w:sz w:val="28"/>
          <w:szCs w:val="28"/>
        </w:rPr>
        <w:t xml:space="preserve">现场教学法是以现场为中心，以现场实物为对象，以学生活动为主体的教学方法。本课程现场教学在校内外实训基地进行，主要应用于机械加工设备的结构原理、操作实验、装配拆卸等项目的教学。 </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 xml:space="preserve">3.自主学习法 </w:t>
      </w:r>
    </w:p>
    <w:p>
      <w:pPr>
        <w:spacing w:beforeLines="50" w:line="400" w:lineRule="exact"/>
        <w:rPr>
          <w:rFonts w:asciiTheme="minorEastAsia" w:hAnsiTheme="minorEastAsia"/>
          <w:sz w:val="28"/>
          <w:szCs w:val="28"/>
        </w:rPr>
      </w:pPr>
      <w:r>
        <w:rPr>
          <w:rFonts w:hint="eastAsia" w:asciiTheme="minorEastAsia" w:hAnsiTheme="minorEastAsia"/>
          <w:sz w:val="28"/>
          <w:szCs w:val="28"/>
        </w:rPr>
        <w:t xml:space="preserve">为了充分拓展学生的视野，培养学生的学习习惯和自主学习能力，锻炼学生的综合素质，通常给学生留思考题或对遇到一些生产问题，让学生利用网络资源自主学习的方式寻找答案，提出解决问题的措施，然后提出讨论评价。 </w:t>
      </w:r>
    </w:p>
    <w:p>
      <w:pPr>
        <w:spacing w:beforeLines="50" w:line="400" w:lineRule="exact"/>
        <w:outlineLvl w:val="9"/>
        <w:rPr>
          <w:rFonts w:asciiTheme="minorEastAsia" w:hAnsiTheme="minorEastAsia"/>
          <w:sz w:val="28"/>
          <w:szCs w:val="28"/>
        </w:rPr>
      </w:pPr>
      <w:r>
        <w:rPr>
          <w:rFonts w:hint="eastAsia" w:asciiTheme="minorEastAsia" w:hAnsiTheme="minorEastAsia"/>
          <w:sz w:val="28"/>
          <w:szCs w:val="28"/>
        </w:rPr>
        <w:t xml:space="preserve">4.讨论法 </w:t>
      </w:r>
    </w:p>
    <w:p>
      <w:pPr>
        <w:spacing w:beforeLines="50" w:line="400" w:lineRule="exact"/>
        <w:rPr>
          <w:rFonts w:asciiTheme="minorEastAsia" w:hAnsiTheme="minorEastAsia"/>
          <w:sz w:val="28"/>
          <w:szCs w:val="28"/>
        </w:rPr>
      </w:pPr>
      <w:r>
        <w:rPr>
          <w:rFonts w:hint="eastAsia" w:asciiTheme="minorEastAsia" w:hAnsiTheme="minorEastAsia"/>
          <w:sz w:val="28"/>
          <w:szCs w:val="28"/>
        </w:rPr>
        <w:t>讨论法是在教师的指导下，学生以全班或小组为单位，围绕教材的中心问题，各抒己见，通过讨论或辩论活动，获得知识或巩固知识的一种教学方法。优点在于，由于全体学生都参加活动，可以培养合作精神，激发学生的学习兴趣，提高学生学习的独立性。</w:t>
      </w:r>
    </w:p>
    <w:p>
      <w:pPr>
        <w:spacing w:beforeLines="50" w:line="400" w:lineRule="exact"/>
        <w:rPr>
          <w:rFonts w:hint="eastAsia" w:asciiTheme="minorEastAsia" w:hAnsiTheme="minorEastAsia"/>
          <w:sz w:val="28"/>
          <w:szCs w:val="28"/>
        </w:rPr>
      </w:pPr>
      <w:r>
        <w:rPr>
          <w:rFonts w:hint="eastAsia" w:asciiTheme="minorEastAsia" w:hAnsiTheme="minorEastAsia"/>
          <w:sz w:val="28"/>
          <w:szCs w:val="28"/>
        </w:rPr>
        <w:t>课程考核按课程教学标准的要求进行，分为考试和考査两种。考试课过程性评价占总成绩的40%，终结性评价占总成绩的60%，按百分制考评，60分为及格。考查课过程性评价占总成绩的60%，终结性评价占总成绩的40%，按百分制考评，60分为及格。</w:t>
      </w:r>
    </w:p>
    <w:p>
      <w:pPr>
        <w:spacing w:beforeLines="50" w:line="400" w:lineRule="exact"/>
        <w:outlineLvl w:val="1"/>
        <w:rPr>
          <w:rFonts w:hint="eastAsia" w:asciiTheme="minorEastAsia" w:hAnsiTheme="minorEastAsia"/>
          <w:sz w:val="28"/>
          <w:szCs w:val="28"/>
        </w:rPr>
      </w:pPr>
      <w:r>
        <w:rPr>
          <w:rFonts w:hint="eastAsia" w:asciiTheme="minorEastAsia" w:hAnsiTheme="minorEastAsia"/>
          <w:sz w:val="28"/>
          <w:szCs w:val="28"/>
          <w:lang w:eastAsia="zh-CN"/>
        </w:rPr>
        <w:t>（</w:t>
      </w:r>
      <w:r>
        <w:rPr>
          <w:rFonts w:hint="eastAsia" w:asciiTheme="minorEastAsia" w:hAnsiTheme="minorEastAsia"/>
          <w:sz w:val="28"/>
          <w:szCs w:val="28"/>
          <w:lang w:val="en-US" w:eastAsia="zh-CN"/>
        </w:rPr>
        <w:t>五）</w:t>
      </w:r>
      <w:r>
        <w:rPr>
          <w:rFonts w:hint="eastAsia" w:asciiTheme="minorEastAsia" w:hAnsiTheme="minorEastAsia"/>
          <w:sz w:val="28"/>
          <w:szCs w:val="28"/>
        </w:rPr>
        <w:t>教学进程安排</w:t>
      </w:r>
    </w:p>
    <w:p>
      <w:pPr>
        <w:spacing w:beforeLines="50" w:line="400" w:lineRule="exact"/>
        <w:outlineLvl w:val="9"/>
        <w:rPr>
          <w:rFonts w:hint="eastAsia" w:asciiTheme="minorEastAsia" w:hAnsiTheme="minorEastAsia"/>
          <w:sz w:val="28"/>
          <w:szCs w:val="28"/>
        </w:rPr>
      </w:pPr>
      <w:r>
        <w:rPr>
          <w:rFonts w:hint="eastAsia" w:asciiTheme="minorEastAsia" w:hAnsiTheme="minorEastAsia"/>
          <w:sz w:val="28"/>
          <w:szCs w:val="28"/>
        </w:rPr>
        <w:t>每学年教学时间不少于40周，总学时数为4</w:t>
      </w:r>
      <w:r>
        <w:rPr>
          <w:rFonts w:hint="eastAsia" w:asciiTheme="minorEastAsia" w:hAnsiTheme="minorEastAsia"/>
          <w:sz w:val="28"/>
          <w:szCs w:val="28"/>
          <w:lang w:val="en-US" w:eastAsia="zh-CN"/>
        </w:rPr>
        <w:t>632</w:t>
      </w:r>
      <w:r>
        <w:rPr>
          <w:rFonts w:hint="eastAsia" w:asciiTheme="minorEastAsia" w:hAnsiTheme="minorEastAsia"/>
          <w:sz w:val="28"/>
          <w:szCs w:val="28"/>
        </w:rPr>
        <w:t>学时</w:t>
      </w:r>
      <w:r>
        <w:rPr>
          <w:rFonts w:hint="eastAsia" w:asciiTheme="minorEastAsia" w:hAnsiTheme="minorEastAsia"/>
          <w:sz w:val="28"/>
          <w:szCs w:val="28"/>
          <w:lang w:eastAsia="zh-CN"/>
        </w:rPr>
        <w:t>，</w:t>
      </w:r>
      <w:r>
        <w:rPr>
          <w:rFonts w:hint="eastAsia" w:asciiTheme="minorEastAsia" w:hAnsiTheme="minorEastAsia"/>
          <w:sz w:val="28"/>
          <w:szCs w:val="28"/>
        </w:rPr>
        <w:t>每学时不少于45分钟</w:t>
      </w:r>
      <w:r>
        <w:rPr>
          <w:rFonts w:hint="eastAsia" w:asciiTheme="minorEastAsia" w:hAnsiTheme="minorEastAsia"/>
          <w:sz w:val="28"/>
          <w:szCs w:val="28"/>
          <w:lang w:eastAsia="zh-CN"/>
        </w:rPr>
        <w:t>，</w:t>
      </w:r>
      <w:r>
        <w:rPr>
          <w:rFonts w:hint="eastAsia" w:asciiTheme="minorEastAsia" w:hAnsiTheme="minorEastAsia"/>
          <w:sz w:val="28"/>
          <w:szCs w:val="28"/>
        </w:rPr>
        <w:t>总学分25</w:t>
      </w:r>
      <w:r>
        <w:rPr>
          <w:rFonts w:hint="eastAsia" w:asciiTheme="minorEastAsia" w:hAnsiTheme="minorEastAsia"/>
          <w:sz w:val="28"/>
          <w:szCs w:val="28"/>
          <w:lang w:val="en-US" w:eastAsia="zh-CN"/>
        </w:rPr>
        <w:t>7</w:t>
      </w:r>
      <w:r>
        <w:rPr>
          <w:rFonts w:hint="eastAsia" w:asciiTheme="minorEastAsia" w:hAnsiTheme="minorEastAsia"/>
          <w:sz w:val="28"/>
          <w:szCs w:val="28"/>
        </w:rPr>
        <w:t>学分。具体见教学进程安排表。</w:t>
      </w:r>
    </w:p>
    <w:p>
      <w:pPr>
        <w:spacing w:beforeLines="50" w:line="400" w:lineRule="exact"/>
        <w:outlineLvl w:val="9"/>
        <w:rPr>
          <w:rFonts w:hint="eastAsia" w:asciiTheme="minorEastAsia" w:hAnsiTheme="minorEastAsia"/>
          <w:sz w:val="28"/>
          <w:szCs w:val="28"/>
        </w:rPr>
      </w:pPr>
      <w:r>
        <w:rPr>
          <w:rFonts w:hint="eastAsia" w:asciiTheme="minorEastAsia" w:hAnsiTheme="minorEastAsia"/>
          <w:sz w:val="28"/>
          <w:szCs w:val="28"/>
        </w:rPr>
        <w:t>其中公共基础课程学时占总学时的</w:t>
      </w:r>
      <w:r>
        <w:rPr>
          <w:rFonts w:hint="eastAsia" w:asciiTheme="minorEastAsia" w:hAnsiTheme="minorEastAsia"/>
          <w:sz w:val="28"/>
          <w:szCs w:val="28"/>
          <w:lang w:val="en-US" w:eastAsia="zh-CN"/>
        </w:rPr>
        <w:t>36</w:t>
      </w:r>
      <w:r>
        <w:rPr>
          <w:rFonts w:hint="eastAsia" w:asciiTheme="minorEastAsia" w:hAnsiTheme="minorEastAsia"/>
          <w:sz w:val="28"/>
          <w:szCs w:val="28"/>
        </w:rPr>
        <w:t>%。保证学生修完公共基础必修课程的内容和总学时数。</w:t>
      </w:r>
    </w:p>
    <w:p>
      <w:pPr>
        <w:spacing w:beforeLines="50" w:line="400" w:lineRule="exact"/>
        <w:outlineLvl w:val="9"/>
        <w:rPr>
          <w:rFonts w:hint="eastAsia" w:asciiTheme="minorEastAsia" w:hAnsiTheme="minorEastAsia"/>
          <w:sz w:val="28"/>
          <w:szCs w:val="28"/>
        </w:rPr>
      </w:pPr>
      <w:r>
        <w:rPr>
          <w:rFonts w:hint="eastAsia" w:asciiTheme="minorEastAsia" w:hAnsiTheme="minorEastAsia"/>
          <w:sz w:val="28"/>
          <w:szCs w:val="28"/>
        </w:rPr>
        <w:t>顶岗实习为27周，学校采取多学期、分段式等形式进行组织实施。</w:t>
      </w:r>
    </w:p>
    <w:p>
      <w:pPr>
        <w:spacing w:beforeLines="50" w:line="400" w:lineRule="exact"/>
        <w:outlineLvl w:val="9"/>
        <w:rPr>
          <w:rFonts w:hint="eastAsia" w:asciiTheme="minorEastAsia" w:hAnsiTheme="minorEastAsia"/>
          <w:sz w:val="28"/>
          <w:szCs w:val="28"/>
        </w:rPr>
      </w:pPr>
      <w:r>
        <w:rPr>
          <w:rFonts w:hint="eastAsia" w:asciiTheme="minorEastAsia" w:hAnsiTheme="minorEastAsia"/>
          <w:sz w:val="28"/>
          <w:szCs w:val="28"/>
        </w:rPr>
        <w:t>教学进程总体安排</w:t>
      </w:r>
    </w:p>
    <w:p>
      <w:pPr>
        <w:spacing w:beforeLines="50" w:line="400" w:lineRule="exact"/>
        <w:outlineLvl w:val="9"/>
        <w:rPr>
          <w:rFonts w:hint="eastAsia" w:asciiTheme="minorEastAsia" w:hAnsiTheme="minorEastAsia"/>
          <w:sz w:val="28"/>
          <w:szCs w:val="28"/>
        </w:rPr>
      </w:pPr>
      <w:r>
        <w:rPr>
          <w:rFonts w:hint="eastAsia" w:asciiTheme="minorEastAsia" w:hAnsiTheme="minorEastAsia"/>
          <w:sz w:val="28"/>
          <w:szCs w:val="28"/>
        </w:rPr>
        <w:t>（一）教学进程安排表</w:t>
      </w:r>
    </w:p>
    <w:p>
      <w:pPr>
        <w:spacing w:beforeLines="50" w:line="400" w:lineRule="exact"/>
        <w:outlineLvl w:val="9"/>
        <w:rPr>
          <w:rFonts w:hint="eastAsia" w:asciiTheme="minorEastAsia" w:hAnsiTheme="minorEastAsia"/>
          <w:sz w:val="28"/>
          <w:szCs w:val="28"/>
        </w:rPr>
      </w:pPr>
      <w:r>
        <w:rPr>
          <w:rFonts w:hint="eastAsia" w:asciiTheme="minorEastAsia" w:hAnsiTheme="minorEastAsia"/>
          <w:sz w:val="28"/>
          <w:szCs w:val="28"/>
        </w:rPr>
        <w:t xml:space="preserve">（二）实践环节教学进程表 </w:t>
      </w:r>
    </w:p>
    <w:p>
      <w:pPr>
        <w:spacing w:beforeLines="50" w:line="400" w:lineRule="exact"/>
        <w:outlineLvl w:val="9"/>
        <w:rPr>
          <w:rFonts w:hint="eastAsia" w:asciiTheme="minorEastAsia" w:hAnsiTheme="minorEastAsia"/>
          <w:sz w:val="28"/>
          <w:szCs w:val="28"/>
        </w:rPr>
      </w:pPr>
      <w:r>
        <w:rPr>
          <w:rFonts w:hint="eastAsia" w:asciiTheme="minorEastAsia" w:hAnsiTheme="minorEastAsia"/>
          <w:sz w:val="28"/>
          <w:szCs w:val="28"/>
        </w:rPr>
        <w:t xml:space="preserve">（三）课程结构      </w:t>
      </w:r>
    </w:p>
    <w:p>
      <w:pPr>
        <w:spacing w:beforeLines="50" w:line="400" w:lineRule="exact"/>
        <w:outlineLvl w:val="9"/>
        <w:rPr>
          <w:rFonts w:hint="eastAsia" w:asciiTheme="minorEastAsia" w:hAnsiTheme="minorEastAsia"/>
          <w:sz w:val="28"/>
          <w:szCs w:val="28"/>
        </w:rPr>
      </w:pPr>
    </w:p>
    <w:p>
      <w:pPr>
        <w:spacing w:beforeLines="50" w:line="400" w:lineRule="exact"/>
        <w:outlineLvl w:val="1"/>
        <w:rPr>
          <w:rFonts w:hint="eastAsia" w:asciiTheme="minorEastAsia" w:hAnsiTheme="minorEastAsia"/>
          <w:sz w:val="28"/>
          <w:szCs w:val="28"/>
        </w:rPr>
      </w:pPr>
      <w:r>
        <w:rPr>
          <w:rFonts w:hint="eastAsia" w:asciiTheme="minorEastAsia" w:hAnsiTheme="minorEastAsia"/>
          <w:sz w:val="28"/>
          <w:szCs w:val="28"/>
          <w:lang w:eastAsia="zh-CN"/>
        </w:rPr>
        <w:t>（</w:t>
      </w:r>
      <w:r>
        <w:rPr>
          <w:rFonts w:hint="eastAsia" w:asciiTheme="minorEastAsia" w:hAnsiTheme="minorEastAsia"/>
          <w:sz w:val="28"/>
          <w:szCs w:val="28"/>
          <w:lang w:val="en-US" w:eastAsia="zh-CN"/>
        </w:rPr>
        <w:t>六</w:t>
      </w:r>
      <w:r>
        <w:rPr>
          <w:rFonts w:hint="eastAsia" w:asciiTheme="minorEastAsia" w:hAnsiTheme="minorEastAsia"/>
          <w:sz w:val="28"/>
          <w:szCs w:val="28"/>
          <w:lang w:eastAsia="zh-CN"/>
        </w:rPr>
        <w:t>）</w:t>
      </w:r>
      <w:r>
        <w:rPr>
          <w:rFonts w:hint="eastAsia" w:asciiTheme="minorEastAsia" w:hAnsiTheme="minorEastAsia"/>
          <w:sz w:val="28"/>
          <w:szCs w:val="28"/>
        </w:rPr>
        <w:t>质量管理</w:t>
      </w:r>
    </w:p>
    <w:p>
      <w:pPr>
        <w:spacing w:beforeLines="50" w:line="400" w:lineRule="exact"/>
        <w:outlineLvl w:val="9"/>
        <w:rPr>
          <w:rFonts w:hint="eastAsia" w:asciiTheme="minorEastAsia" w:hAnsiTheme="minorEastAsia"/>
          <w:sz w:val="28"/>
          <w:szCs w:val="28"/>
        </w:rPr>
      </w:pPr>
      <w:r>
        <w:rPr>
          <w:rFonts w:hint="eastAsia" w:asciiTheme="minorEastAsia" w:hAnsiTheme="minorEastAsia"/>
          <w:sz w:val="28"/>
          <w:szCs w:val="28"/>
        </w:rPr>
        <w:t>1．教学质量监控体系和制度：学院建立了院系两级的质量保障体系，规范了各部门、各环节的教学质量管理。制定了《南阳科技职业学院教学管理制度汇编》，规范了教学计划管理、教学运行管理、教学质量管理、教学基本建设管理、教学研究等工作。</w:t>
      </w:r>
    </w:p>
    <w:p>
      <w:pPr>
        <w:spacing w:beforeLines="50" w:line="400" w:lineRule="exact"/>
        <w:outlineLvl w:val="9"/>
        <w:rPr>
          <w:rFonts w:hint="eastAsia" w:asciiTheme="minorEastAsia" w:hAnsiTheme="minorEastAsia"/>
          <w:sz w:val="28"/>
          <w:szCs w:val="28"/>
        </w:rPr>
      </w:pPr>
      <w:r>
        <w:rPr>
          <w:rFonts w:hint="eastAsia" w:asciiTheme="minorEastAsia" w:hAnsiTheme="minorEastAsia"/>
          <w:sz w:val="28"/>
          <w:szCs w:val="28"/>
        </w:rPr>
        <w:t>2．教学督导：学院成立了教学督导组，采用听课、教学检查等多种形式对教学秩序、教学管理进行检查、督导。各系也成立督导小组，开展听课、教学检查等督导活动。</w:t>
      </w:r>
    </w:p>
    <w:p>
      <w:pPr>
        <w:spacing w:beforeLines="50" w:line="400" w:lineRule="exact"/>
        <w:outlineLvl w:val="9"/>
        <w:rPr>
          <w:rFonts w:hint="eastAsia" w:asciiTheme="minorEastAsia" w:hAnsiTheme="minorEastAsia"/>
          <w:sz w:val="28"/>
          <w:szCs w:val="28"/>
        </w:rPr>
      </w:pPr>
      <w:r>
        <w:rPr>
          <w:rFonts w:hint="eastAsia" w:asciiTheme="minorEastAsia" w:hAnsiTheme="minorEastAsia"/>
          <w:sz w:val="28"/>
          <w:szCs w:val="28"/>
        </w:rPr>
        <w:t>3．定期与不定期教学检查：定期开展“学期初、中、末”的教学检查，由教务处组织，各院系负责落实。教务处、督导组、院系等根据职责分工，不定期进行日常教学巡查，发现问题及时处理。</w:t>
      </w:r>
    </w:p>
    <w:p>
      <w:pPr>
        <w:spacing w:beforeLines="50" w:line="400" w:lineRule="exact"/>
        <w:outlineLvl w:val="9"/>
        <w:rPr>
          <w:rFonts w:hint="eastAsia" w:asciiTheme="minorEastAsia" w:hAnsiTheme="minorEastAsia"/>
          <w:sz w:val="28"/>
          <w:szCs w:val="28"/>
        </w:rPr>
      </w:pPr>
      <w:r>
        <w:rPr>
          <w:rFonts w:hint="eastAsia" w:asciiTheme="minorEastAsia" w:hAnsiTheme="minorEastAsia"/>
          <w:sz w:val="28"/>
          <w:szCs w:val="28"/>
        </w:rPr>
        <w:t>4．学评教与教评学：学院每学期末，开展“学评教与教评学”活动，学生按照“教师课堂教学质量评价表”，从教学内容、教学方法、教学态度、教学质量等方面对本学期任课教师教学水平进行评价。任课教师在学期末对所教班级学生的学习态度、课堂纪律、学习能力等综合评价。“学评教与教评学”的结果纳入教师教学质量考核和班级的量化考核中。</w:t>
      </w:r>
    </w:p>
    <w:p>
      <w:pPr>
        <w:spacing w:beforeLines="50" w:line="400" w:lineRule="exact"/>
        <w:outlineLvl w:val="9"/>
        <w:rPr>
          <w:rFonts w:hint="eastAsia" w:asciiTheme="minorEastAsia" w:hAnsiTheme="minorEastAsia"/>
          <w:sz w:val="28"/>
          <w:szCs w:val="28"/>
        </w:rPr>
      </w:pPr>
      <w:r>
        <w:rPr>
          <w:rFonts w:hint="eastAsia" w:asciiTheme="minorEastAsia" w:hAnsiTheme="minorEastAsia"/>
          <w:sz w:val="28"/>
          <w:szCs w:val="28"/>
        </w:rPr>
        <w:t>5．顶岗实践教学质量管理：与河南龙翔电气股份有限公司等企业建立了长期、稳定的合作关系，每个实习点均配备有实习指导教师。建立健全了顶岗管理制度和考核体系，学院定期组织实习大检查，实习指导教师定期到实习点检查实习。企业的带教老师均由中级以上职称、经验丰富的专业技术人员担任，学生每完一个实习项目均要进行考试，并对学生实习效果进行评价。</w:t>
      </w:r>
    </w:p>
    <w:p>
      <w:pPr>
        <w:spacing w:beforeLines="50" w:line="400" w:lineRule="exact"/>
        <w:outlineLvl w:val="1"/>
        <w:rPr>
          <w:rFonts w:hint="eastAsia" w:asciiTheme="minorEastAsia" w:hAnsiTheme="minorEastAsia"/>
          <w:sz w:val="28"/>
          <w:szCs w:val="28"/>
        </w:rPr>
      </w:pPr>
      <w:r>
        <w:rPr>
          <w:rFonts w:hint="eastAsia" w:asciiTheme="minorEastAsia" w:hAnsiTheme="minorEastAsia"/>
          <w:sz w:val="28"/>
          <w:szCs w:val="28"/>
          <w:lang w:eastAsia="zh-CN"/>
        </w:rPr>
        <w:t>（</w:t>
      </w:r>
      <w:r>
        <w:rPr>
          <w:rFonts w:hint="eastAsia" w:asciiTheme="minorEastAsia" w:hAnsiTheme="minorEastAsia"/>
          <w:sz w:val="28"/>
          <w:szCs w:val="28"/>
          <w:lang w:val="en-US" w:eastAsia="zh-CN"/>
        </w:rPr>
        <w:t>七</w:t>
      </w:r>
      <w:r>
        <w:rPr>
          <w:rFonts w:hint="eastAsia" w:asciiTheme="minorEastAsia" w:hAnsiTheme="minorEastAsia"/>
          <w:sz w:val="28"/>
          <w:szCs w:val="28"/>
          <w:lang w:eastAsia="zh-CN"/>
        </w:rPr>
        <w:t>）</w:t>
      </w:r>
      <w:r>
        <w:rPr>
          <w:rFonts w:hint="eastAsia" w:asciiTheme="minorEastAsia" w:hAnsiTheme="minorEastAsia"/>
          <w:sz w:val="28"/>
          <w:szCs w:val="28"/>
        </w:rPr>
        <w:t>毕业要求</w:t>
      </w:r>
    </w:p>
    <w:p>
      <w:pPr>
        <w:spacing w:beforeLines="50" w:line="400" w:lineRule="exact"/>
        <w:outlineLvl w:val="9"/>
        <w:rPr>
          <w:rFonts w:hint="default" w:asciiTheme="minorEastAsia" w:hAnsiTheme="minorEastAsia" w:eastAsiaTheme="minorEastAsia"/>
          <w:sz w:val="28"/>
          <w:szCs w:val="28"/>
          <w:lang w:val="en-US" w:eastAsia="zh-CN"/>
        </w:rPr>
      </w:pPr>
      <w:r>
        <w:rPr>
          <w:rFonts w:hint="eastAsia" w:asciiTheme="minorEastAsia" w:hAnsiTheme="minorEastAsia"/>
          <w:sz w:val="28"/>
          <w:szCs w:val="28"/>
        </w:rPr>
        <w:t>（一）学分要求：本专业必须修满</w:t>
      </w:r>
      <w:r>
        <w:rPr>
          <w:rFonts w:hint="eastAsia" w:asciiTheme="minorEastAsia" w:hAnsiTheme="minorEastAsia"/>
          <w:sz w:val="28"/>
          <w:szCs w:val="28"/>
          <w:lang w:val="en-US" w:eastAsia="zh-CN"/>
        </w:rPr>
        <w:t>260</w:t>
      </w:r>
      <w:r>
        <w:rPr>
          <w:rFonts w:hint="eastAsia" w:asciiTheme="minorEastAsia" w:hAnsiTheme="minorEastAsia"/>
          <w:sz w:val="28"/>
          <w:szCs w:val="28"/>
        </w:rPr>
        <w:t>学分，毕业考试合格，顶岗实习合格方可毕业。其中，公共基础课</w:t>
      </w:r>
      <w:r>
        <w:rPr>
          <w:rFonts w:hint="eastAsia" w:asciiTheme="minorEastAsia" w:hAnsiTheme="minorEastAsia"/>
          <w:sz w:val="28"/>
          <w:szCs w:val="28"/>
          <w:lang w:val="en-US" w:eastAsia="zh-CN"/>
        </w:rPr>
        <w:t>80</w:t>
      </w:r>
      <w:r>
        <w:rPr>
          <w:rFonts w:hint="eastAsia" w:asciiTheme="minorEastAsia" w:hAnsiTheme="minorEastAsia"/>
          <w:sz w:val="28"/>
          <w:szCs w:val="28"/>
        </w:rPr>
        <w:t>学分</w:t>
      </w:r>
      <w:r>
        <w:rPr>
          <w:rFonts w:hint="eastAsia" w:asciiTheme="minorEastAsia" w:hAnsiTheme="minorEastAsia"/>
          <w:sz w:val="28"/>
          <w:szCs w:val="28"/>
          <w:lang w:eastAsia="zh-CN"/>
        </w:rPr>
        <w:t>，</w:t>
      </w:r>
      <w:r>
        <w:rPr>
          <w:rFonts w:hint="eastAsia" w:asciiTheme="minorEastAsia" w:hAnsiTheme="minorEastAsia"/>
          <w:sz w:val="28"/>
          <w:szCs w:val="28"/>
        </w:rPr>
        <w:t>公共选修</w:t>
      </w:r>
      <w:r>
        <w:rPr>
          <w:rFonts w:hint="eastAsia" w:asciiTheme="minorEastAsia" w:hAnsiTheme="minorEastAsia"/>
          <w:sz w:val="28"/>
          <w:szCs w:val="28"/>
          <w:lang w:val="en-US" w:eastAsia="zh-CN"/>
        </w:rPr>
        <w:t>10</w:t>
      </w:r>
      <w:r>
        <w:rPr>
          <w:rFonts w:hint="eastAsia" w:asciiTheme="minorEastAsia" w:hAnsiTheme="minorEastAsia"/>
          <w:sz w:val="28"/>
          <w:szCs w:val="28"/>
        </w:rPr>
        <w:t>学分；专业课</w:t>
      </w:r>
      <w:r>
        <w:rPr>
          <w:rFonts w:hint="eastAsia" w:asciiTheme="minorEastAsia" w:hAnsiTheme="minorEastAsia"/>
          <w:sz w:val="28"/>
          <w:szCs w:val="28"/>
          <w:lang w:val="en-US" w:eastAsia="zh-CN"/>
        </w:rPr>
        <w:t>142</w:t>
      </w:r>
      <w:r>
        <w:rPr>
          <w:rFonts w:hint="eastAsia" w:asciiTheme="minorEastAsia" w:hAnsiTheme="minorEastAsia"/>
          <w:sz w:val="28"/>
          <w:szCs w:val="28"/>
        </w:rPr>
        <w:t>学分</w:t>
      </w:r>
      <w:r>
        <w:rPr>
          <w:rFonts w:hint="eastAsia" w:asciiTheme="minorEastAsia" w:hAnsiTheme="minorEastAsia"/>
          <w:sz w:val="28"/>
          <w:szCs w:val="28"/>
          <w:lang w:eastAsia="zh-CN"/>
        </w:rPr>
        <w:t>，</w:t>
      </w:r>
      <w:r>
        <w:rPr>
          <w:rFonts w:hint="eastAsia" w:asciiTheme="minorEastAsia" w:hAnsiTheme="minorEastAsia"/>
          <w:sz w:val="28"/>
          <w:szCs w:val="28"/>
        </w:rPr>
        <w:t>专业</w:t>
      </w:r>
      <w:r>
        <w:rPr>
          <w:rFonts w:hint="eastAsia" w:asciiTheme="minorEastAsia" w:hAnsiTheme="minorEastAsia"/>
          <w:sz w:val="28"/>
          <w:szCs w:val="28"/>
          <w:lang w:val="en-US" w:eastAsia="zh-CN"/>
        </w:rPr>
        <w:t>选修18</w:t>
      </w:r>
      <w:r>
        <w:rPr>
          <w:rFonts w:hint="eastAsia" w:asciiTheme="minorEastAsia" w:hAnsiTheme="minorEastAsia"/>
          <w:sz w:val="28"/>
          <w:szCs w:val="28"/>
        </w:rPr>
        <w:t>学分</w:t>
      </w:r>
      <w:r>
        <w:rPr>
          <w:rFonts w:hint="eastAsia" w:asciiTheme="minorEastAsia" w:hAnsiTheme="minorEastAsia"/>
          <w:sz w:val="28"/>
          <w:szCs w:val="28"/>
          <w:lang w:eastAsia="zh-CN"/>
        </w:rPr>
        <w:t>；</w:t>
      </w:r>
      <w:r>
        <w:rPr>
          <w:rFonts w:hint="eastAsia" w:asciiTheme="minorEastAsia" w:hAnsiTheme="minorEastAsia"/>
          <w:sz w:val="28"/>
          <w:szCs w:val="28"/>
          <w:lang w:val="en-US" w:eastAsia="zh-CN"/>
        </w:rPr>
        <w:t>岗位实习27学分。</w:t>
      </w:r>
    </w:p>
    <w:p>
      <w:pPr>
        <w:spacing w:beforeLines="50" w:line="400" w:lineRule="exact"/>
        <w:outlineLvl w:val="9"/>
        <w:rPr>
          <w:rFonts w:hint="eastAsia" w:asciiTheme="minorEastAsia" w:hAnsiTheme="minorEastAsia"/>
          <w:sz w:val="28"/>
          <w:szCs w:val="28"/>
        </w:rPr>
      </w:pPr>
      <w:r>
        <w:rPr>
          <w:rFonts w:hint="eastAsia" w:asciiTheme="minorEastAsia" w:hAnsiTheme="minorEastAsia"/>
          <w:sz w:val="28"/>
          <w:szCs w:val="28"/>
        </w:rPr>
        <w:t>（二）取得下列职业资格证书或职业技能等级证书一项以上：</w:t>
      </w:r>
    </w:p>
    <w:p>
      <w:pPr>
        <w:spacing w:beforeLines="50" w:line="400" w:lineRule="exact"/>
        <w:outlineLvl w:val="9"/>
        <w:rPr>
          <w:rFonts w:hint="eastAsia" w:asciiTheme="minorEastAsia" w:hAnsiTheme="minorEastAsia"/>
          <w:sz w:val="28"/>
          <w:szCs w:val="28"/>
        </w:rPr>
      </w:pPr>
      <w:r>
        <w:rPr>
          <w:rFonts w:hint="eastAsia" w:asciiTheme="minorEastAsia" w:hAnsiTheme="minorEastAsia"/>
          <w:sz w:val="28"/>
          <w:szCs w:val="28"/>
        </w:rPr>
        <w:t>1．电动机检修工国家职业技能鉴定职业资格四级及以上证书；</w:t>
      </w:r>
    </w:p>
    <w:p>
      <w:pPr>
        <w:spacing w:beforeLines="50" w:line="400" w:lineRule="exact"/>
        <w:outlineLvl w:val="9"/>
        <w:rPr>
          <w:rFonts w:hint="eastAsia" w:asciiTheme="minorEastAsia" w:hAnsiTheme="minorEastAsia"/>
          <w:sz w:val="28"/>
          <w:szCs w:val="28"/>
        </w:rPr>
      </w:pPr>
      <w:r>
        <w:rPr>
          <w:rFonts w:hint="eastAsia" w:asciiTheme="minorEastAsia" w:hAnsiTheme="minorEastAsia"/>
          <w:sz w:val="28"/>
          <w:szCs w:val="28"/>
        </w:rPr>
        <w:t>2．电工国家职业技能鉴定职业资格四级及以上证书；</w:t>
      </w:r>
    </w:p>
    <w:p>
      <w:pPr>
        <w:spacing w:beforeLines="50" w:line="400" w:lineRule="exact"/>
        <w:outlineLvl w:val="9"/>
        <w:rPr>
          <w:rFonts w:hint="default" w:asciiTheme="minorEastAsia" w:hAnsiTheme="minorEastAsia" w:eastAsiaTheme="minorEastAsia"/>
          <w:sz w:val="28"/>
          <w:szCs w:val="28"/>
          <w:lang w:val="en-US" w:eastAsia="zh-CN"/>
        </w:rPr>
      </w:pPr>
      <w:r>
        <w:rPr>
          <w:rFonts w:hint="eastAsia" w:asciiTheme="minorEastAsia" w:hAnsiTheme="minorEastAsia"/>
          <w:sz w:val="28"/>
          <w:szCs w:val="28"/>
        </w:rPr>
        <w:t>3．电气自动化操作调整工证书，电气自动化装调维修工证书任选</w:t>
      </w:r>
      <w:r>
        <w:rPr>
          <w:rFonts w:hint="eastAsia" w:asciiTheme="minorEastAsia" w:hAnsiTheme="minorEastAsia"/>
          <w:sz w:val="28"/>
          <w:szCs w:val="28"/>
          <w:lang w:val="en-US" w:eastAsia="zh-CN"/>
        </w:rPr>
        <w:t>一。</w:t>
      </w:r>
    </w:p>
    <w:p>
      <w:pPr>
        <w:spacing w:beforeLines="50" w:line="400" w:lineRule="exact"/>
        <w:outlineLvl w:val="0"/>
        <w:rPr>
          <w:rFonts w:asciiTheme="minorEastAsia" w:hAnsiTheme="minorEastAsia"/>
          <w:b/>
          <w:sz w:val="28"/>
        </w:rPr>
      </w:pPr>
      <w:r>
        <w:rPr>
          <w:rFonts w:hint="eastAsia" w:asciiTheme="minorEastAsia" w:hAnsiTheme="minorEastAsia"/>
          <w:b/>
          <w:sz w:val="28"/>
          <w:lang w:val="en-US" w:eastAsia="zh-CN"/>
        </w:rPr>
        <w:t>四、</w:t>
      </w:r>
      <w:r>
        <w:rPr>
          <w:rFonts w:hint="eastAsia" w:asciiTheme="minorEastAsia" w:hAnsiTheme="minorEastAsia"/>
          <w:b/>
          <w:sz w:val="28"/>
        </w:rPr>
        <w:t>附录</w:t>
      </w:r>
    </w:p>
    <w:p>
      <w:pPr>
        <w:spacing w:line="400" w:lineRule="exact"/>
        <w:outlineLvl w:val="0"/>
        <w:rPr>
          <w:rFonts w:asciiTheme="minorEastAsia" w:hAnsiTheme="minorEastAsia"/>
          <w:sz w:val="24"/>
        </w:rPr>
        <w:sectPr>
          <w:pgSz w:w="11906" w:h="16838"/>
          <w:pgMar w:top="1440" w:right="1800" w:bottom="1440" w:left="1800" w:header="851" w:footer="992" w:gutter="0"/>
          <w:cols w:space="425" w:num="1"/>
          <w:docGrid w:type="lines" w:linePitch="312" w:charSpace="0"/>
        </w:sectPr>
      </w:pPr>
    </w:p>
    <w:p>
      <w:pPr>
        <w:spacing w:line="440" w:lineRule="exact"/>
        <w:rPr>
          <w:rFonts w:ascii="宋体" w:hAnsi="宋体"/>
          <w:sz w:val="24"/>
        </w:rPr>
      </w:pPr>
      <w:r>
        <w:rPr>
          <w:rFonts w:hint="eastAsia" w:ascii="宋体" w:hAnsi="宋体"/>
          <w:sz w:val="24"/>
        </w:rPr>
        <w:t>附表一</w:t>
      </w:r>
      <w:bookmarkStart w:id="1" w:name="_GoBack"/>
      <w:bookmarkEnd w:id="1"/>
    </w:p>
    <w:p>
      <w:pPr>
        <w:spacing w:line="440" w:lineRule="exact"/>
        <w:ind w:firstLine="602" w:firstLineChars="250"/>
        <w:jc w:val="center"/>
        <w:rPr>
          <w:rFonts w:ascii="宋体" w:hAnsi="宋体"/>
          <w:b/>
          <w:sz w:val="24"/>
        </w:rPr>
      </w:pPr>
      <w:r>
        <w:rPr>
          <w:rFonts w:hint="eastAsia" w:ascii="宋体" w:hAnsi="宋体"/>
          <w:b/>
          <w:sz w:val="24"/>
        </w:rPr>
        <w:t>教学周数分配表</w:t>
      </w:r>
    </w:p>
    <w:p>
      <w:pPr>
        <w:spacing w:line="440" w:lineRule="exact"/>
        <w:ind w:firstLine="600" w:firstLineChars="250"/>
        <w:jc w:val="center"/>
        <w:rPr>
          <w:rFonts w:ascii="宋体" w:hAnsi="宋体"/>
          <w:sz w:val="24"/>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533"/>
        <w:gridCol w:w="534"/>
        <w:gridCol w:w="533"/>
        <w:gridCol w:w="534"/>
        <w:gridCol w:w="533"/>
        <w:gridCol w:w="534"/>
        <w:gridCol w:w="533"/>
        <w:gridCol w:w="534"/>
        <w:gridCol w:w="533"/>
        <w:gridCol w:w="534"/>
        <w:gridCol w:w="534"/>
        <w:gridCol w:w="533"/>
        <w:gridCol w:w="534"/>
        <w:gridCol w:w="533"/>
        <w:gridCol w:w="534"/>
        <w:gridCol w:w="533"/>
        <w:gridCol w:w="534"/>
        <w:gridCol w:w="533"/>
        <w:gridCol w:w="534"/>
        <w:gridCol w:w="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 w:hRule="atLeast"/>
          <w:jc w:val="center"/>
        </w:trPr>
        <w:tc>
          <w:tcPr>
            <w:tcW w:w="1774" w:type="dxa"/>
            <w:tcBorders>
              <w:tl2br w:val="single" w:color="auto" w:sz="4" w:space="0"/>
            </w:tcBorders>
            <w:tcMar>
              <w:left w:w="0" w:type="dxa"/>
              <w:right w:w="0" w:type="dxa"/>
            </w:tcMar>
            <w:vAlign w:val="center"/>
          </w:tcPr>
          <w:p>
            <w:pPr>
              <w:spacing w:line="440" w:lineRule="exact"/>
              <w:ind w:firstLine="1050" w:firstLineChars="500"/>
              <w:jc w:val="center"/>
              <w:rPr>
                <w:rFonts w:ascii="宋体" w:hAnsi="宋体"/>
                <w:szCs w:val="21"/>
              </w:rPr>
            </w:pPr>
            <w:r>
              <w:rPr>
                <w:rFonts w:hint="eastAsia" w:ascii="宋体" w:hAnsi="宋体"/>
                <w:szCs w:val="21"/>
              </w:rPr>
              <w:t>周次</w:t>
            </w:r>
          </w:p>
          <w:p>
            <w:pPr>
              <w:spacing w:line="440" w:lineRule="exact"/>
              <w:jc w:val="center"/>
              <w:rPr>
                <w:rFonts w:ascii="宋体" w:hAnsi="宋体"/>
                <w:szCs w:val="21"/>
              </w:rPr>
            </w:pPr>
            <w:r>
              <w:rPr>
                <w:rFonts w:hint="eastAsia" w:ascii="宋体" w:hAnsi="宋体"/>
                <w:szCs w:val="21"/>
              </w:rPr>
              <w:t>学期</w:t>
            </w:r>
          </w:p>
        </w:tc>
        <w:tc>
          <w:tcPr>
            <w:tcW w:w="533" w:type="dxa"/>
            <w:vAlign w:val="center"/>
          </w:tcPr>
          <w:p>
            <w:pPr>
              <w:spacing w:line="440" w:lineRule="exact"/>
              <w:jc w:val="center"/>
              <w:rPr>
                <w:rFonts w:ascii="宋体" w:hAnsi="宋体"/>
                <w:szCs w:val="21"/>
              </w:rPr>
            </w:pPr>
            <w:r>
              <w:rPr>
                <w:rFonts w:hint="eastAsia" w:ascii="宋体" w:hAnsi="宋体"/>
                <w:szCs w:val="21"/>
              </w:rPr>
              <w:t>1</w:t>
            </w:r>
          </w:p>
        </w:tc>
        <w:tc>
          <w:tcPr>
            <w:tcW w:w="534" w:type="dxa"/>
            <w:vAlign w:val="center"/>
          </w:tcPr>
          <w:p>
            <w:pPr>
              <w:spacing w:line="440" w:lineRule="exact"/>
              <w:jc w:val="center"/>
              <w:rPr>
                <w:rFonts w:ascii="宋体" w:hAnsi="宋体"/>
                <w:szCs w:val="21"/>
              </w:rPr>
            </w:pPr>
            <w:r>
              <w:rPr>
                <w:rFonts w:hint="eastAsia" w:ascii="宋体" w:hAnsi="宋体"/>
                <w:szCs w:val="21"/>
              </w:rPr>
              <w:t>2</w:t>
            </w:r>
          </w:p>
        </w:tc>
        <w:tc>
          <w:tcPr>
            <w:tcW w:w="533" w:type="dxa"/>
            <w:vAlign w:val="center"/>
          </w:tcPr>
          <w:p>
            <w:pPr>
              <w:spacing w:line="440" w:lineRule="exact"/>
              <w:jc w:val="center"/>
              <w:rPr>
                <w:rFonts w:ascii="宋体" w:hAnsi="宋体"/>
                <w:szCs w:val="21"/>
              </w:rPr>
            </w:pPr>
            <w:r>
              <w:rPr>
                <w:rFonts w:hint="eastAsia" w:ascii="宋体" w:hAnsi="宋体"/>
                <w:szCs w:val="21"/>
              </w:rPr>
              <w:t>3</w:t>
            </w:r>
          </w:p>
        </w:tc>
        <w:tc>
          <w:tcPr>
            <w:tcW w:w="534" w:type="dxa"/>
            <w:vAlign w:val="center"/>
          </w:tcPr>
          <w:p>
            <w:pPr>
              <w:spacing w:line="440" w:lineRule="exact"/>
              <w:jc w:val="center"/>
              <w:rPr>
                <w:rFonts w:ascii="宋体" w:hAnsi="宋体"/>
                <w:szCs w:val="21"/>
              </w:rPr>
            </w:pPr>
            <w:r>
              <w:rPr>
                <w:rFonts w:hint="eastAsia" w:ascii="宋体" w:hAnsi="宋体"/>
                <w:szCs w:val="21"/>
              </w:rPr>
              <w:t>4</w:t>
            </w:r>
          </w:p>
        </w:tc>
        <w:tc>
          <w:tcPr>
            <w:tcW w:w="533" w:type="dxa"/>
            <w:vAlign w:val="center"/>
          </w:tcPr>
          <w:p>
            <w:pPr>
              <w:spacing w:line="440" w:lineRule="exact"/>
              <w:jc w:val="center"/>
              <w:rPr>
                <w:rFonts w:ascii="宋体" w:hAnsi="宋体"/>
                <w:szCs w:val="21"/>
              </w:rPr>
            </w:pPr>
            <w:r>
              <w:rPr>
                <w:rFonts w:hint="eastAsia" w:ascii="宋体" w:hAnsi="宋体"/>
                <w:szCs w:val="21"/>
              </w:rPr>
              <w:t>5</w:t>
            </w:r>
          </w:p>
        </w:tc>
        <w:tc>
          <w:tcPr>
            <w:tcW w:w="534" w:type="dxa"/>
            <w:vAlign w:val="center"/>
          </w:tcPr>
          <w:p>
            <w:pPr>
              <w:spacing w:line="440" w:lineRule="exact"/>
              <w:jc w:val="center"/>
              <w:rPr>
                <w:rFonts w:ascii="宋体" w:hAnsi="宋体"/>
                <w:szCs w:val="21"/>
              </w:rPr>
            </w:pPr>
            <w:r>
              <w:rPr>
                <w:rFonts w:hint="eastAsia" w:ascii="宋体" w:hAnsi="宋体"/>
                <w:szCs w:val="21"/>
              </w:rPr>
              <w:t>6</w:t>
            </w:r>
          </w:p>
        </w:tc>
        <w:tc>
          <w:tcPr>
            <w:tcW w:w="533" w:type="dxa"/>
            <w:vAlign w:val="center"/>
          </w:tcPr>
          <w:p>
            <w:pPr>
              <w:spacing w:line="440" w:lineRule="exact"/>
              <w:jc w:val="center"/>
              <w:rPr>
                <w:rFonts w:ascii="宋体" w:hAnsi="宋体"/>
                <w:szCs w:val="21"/>
              </w:rPr>
            </w:pPr>
            <w:r>
              <w:rPr>
                <w:rFonts w:hint="eastAsia" w:ascii="宋体" w:hAnsi="宋体"/>
                <w:szCs w:val="21"/>
              </w:rPr>
              <w:t>7</w:t>
            </w:r>
          </w:p>
        </w:tc>
        <w:tc>
          <w:tcPr>
            <w:tcW w:w="534" w:type="dxa"/>
            <w:vAlign w:val="center"/>
          </w:tcPr>
          <w:p>
            <w:pPr>
              <w:spacing w:line="440" w:lineRule="exact"/>
              <w:jc w:val="center"/>
              <w:rPr>
                <w:rFonts w:ascii="宋体" w:hAnsi="宋体"/>
                <w:szCs w:val="21"/>
              </w:rPr>
            </w:pPr>
            <w:r>
              <w:rPr>
                <w:rFonts w:hint="eastAsia" w:ascii="宋体" w:hAnsi="宋体"/>
                <w:szCs w:val="21"/>
              </w:rPr>
              <w:t>8</w:t>
            </w:r>
          </w:p>
        </w:tc>
        <w:tc>
          <w:tcPr>
            <w:tcW w:w="533" w:type="dxa"/>
            <w:vAlign w:val="center"/>
          </w:tcPr>
          <w:p>
            <w:pPr>
              <w:spacing w:line="440" w:lineRule="exact"/>
              <w:jc w:val="center"/>
              <w:rPr>
                <w:rFonts w:ascii="宋体" w:hAnsi="宋体"/>
                <w:szCs w:val="21"/>
              </w:rPr>
            </w:pPr>
            <w:r>
              <w:rPr>
                <w:rFonts w:hint="eastAsia" w:ascii="宋体" w:hAnsi="宋体"/>
                <w:szCs w:val="21"/>
              </w:rPr>
              <w:t>9</w:t>
            </w:r>
          </w:p>
        </w:tc>
        <w:tc>
          <w:tcPr>
            <w:tcW w:w="534" w:type="dxa"/>
            <w:vAlign w:val="center"/>
          </w:tcPr>
          <w:p>
            <w:pPr>
              <w:spacing w:line="440" w:lineRule="exact"/>
              <w:jc w:val="center"/>
              <w:rPr>
                <w:rFonts w:ascii="宋体" w:hAnsi="宋体"/>
                <w:szCs w:val="21"/>
              </w:rPr>
            </w:pPr>
            <w:r>
              <w:rPr>
                <w:rFonts w:hint="eastAsia" w:ascii="宋体" w:hAnsi="宋体"/>
                <w:szCs w:val="21"/>
              </w:rPr>
              <w:t>10</w:t>
            </w:r>
          </w:p>
        </w:tc>
        <w:tc>
          <w:tcPr>
            <w:tcW w:w="534" w:type="dxa"/>
            <w:vAlign w:val="center"/>
          </w:tcPr>
          <w:p>
            <w:pPr>
              <w:spacing w:line="440" w:lineRule="exact"/>
              <w:jc w:val="center"/>
              <w:rPr>
                <w:rFonts w:ascii="宋体" w:hAnsi="宋体"/>
                <w:szCs w:val="21"/>
              </w:rPr>
            </w:pPr>
            <w:r>
              <w:rPr>
                <w:rFonts w:hint="eastAsia" w:ascii="宋体" w:hAnsi="宋体"/>
                <w:szCs w:val="21"/>
              </w:rPr>
              <w:t>11</w:t>
            </w:r>
          </w:p>
        </w:tc>
        <w:tc>
          <w:tcPr>
            <w:tcW w:w="533" w:type="dxa"/>
            <w:vAlign w:val="center"/>
          </w:tcPr>
          <w:p>
            <w:pPr>
              <w:spacing w:line="440" w:lineRule="exact"/>
              <w:jc w:val="center"/>
              <w:rPr>
                <w:rFonts w:ascii="宋体" w:hAnsi="宋体"/>
                <w:szCs w:val="21"/>
              </w:rPr>
            </w:pPr>
            <w:r>
              <w:rPr>
                <w:rFonts w:hint="eastAsia" w:ascii="宋体" w:hAnsi="宋体"/>
                <w:szCs w:val="21"/>
              </w:rPr>
              <w:t>12</w:t>
            </w:r>
          </w:p>
        </w:tc>
        <w:tc>
          <w:tcPr>
            <w:tcW w:w="534" w:type="dxa"/>
            <w:vAlign w:val="center"/>
          </w:tcPr>
          <w:p>
            <w:pPr>
              <w:spacing w:line="440" w:lineRule="exact"/>
              <w:jc w:val="center"/>
              <w:rPr>
                <w:rFonts w:ascii="宋体" w:hAnsi="宋体"/>
                <w:szCs w:val="21"/>
              </w:rPr>
            </w:pPr>
            <w:r>
              <w:rPr>
                <w:rFonts w:hint="eastAsia" w:ascii="宋体" w:hAnsi="宋体"/>
                <w:szCs w:val="21"/>
              </w:rPr>
              <w:t>13</w:t>
            </w:r>
          </w:p>
        </w:tc>
        <w:tc>
          <w:tcPr>
            <w:tcW w:w="533" w:type="dxa"/>
            <w:vAlign w:val="center"/>
          </w:tcPr>
          <w:p>
            <w:pPr>
              <w:spacing w:line="440" w:lineRule="exact"/>
              <w:jc w:val="center"/>
              <w:rPr>
                <w:rFonts w:ascii="宋体" w:hAnsi="宋体"/>
                <w:szCs w:val="21"/>
              </w:rPr>
            </w:pPr>
            <w:r>
              <w:rPr>
                <w:rFonts w:hint="eastAsia" w:ascii="宋体" w:hAnsi="宋体"/>
                <w:szCs w:val="21"/>
              </w:rPr>
              <w:t>14</w:t>
            </w:r>
          </w:p>
        </w:tc>
        <w:tc>
          <w:tcPr>
            <w:tcW w:w="534" w:type="dxa"/>
            <w:vAlign w:val="center"/>
          </w:tcPr>
          <w:p>
            <w:pPr>
              <w:spacing w:line="440" w:lineRule="exact"/>
              <w:jc w:val="center"/>
              <w:rPr>
                <w:rFonts w:ascii="宋体" w:hAnsi="宋体"/>
                <w:szCs w:val="21"/>
              </w:rPr>
            </w:pPr>
            <w:r>
              <w:rPr>
                <w:rFonts w:hint="eastAsia" w:ascii="宋体" w:hAnsi="宋体"/>
                <w:szCs w:val="21"/>
              </w:rPr>
              <w:t>15</w:t>
            </w:r>
          </w:p>
        </w:tc>
        <w:tc>
          <w:tcPr>
            <w:tcW w:w="533" w:type="dxa"/>
            <w:vAlign w:val="center"/>
          </w:tcPr>
          <w:p>
            <w:pPr>
              <w:spacing w:line="440" w:lineRule="exact"/>
              <w:jc w:val="center"/>
              <w:rPr>
                <w:rFonts w:ascii="宋体" w:hAnsi="宋体"/>
                <w:szCs w:val="21"/>
              </w:rPr>
            </w:pPr>
            <w:r>
              <w:rPr>
                <w:rFonts w:hint="eastAsia" w:ascii="宋体" w:hAnsi="宋体"/>
                <w:szCs w:val="21"/>
              </w:rPr>
              <w:t>16</w:t>
            </w:r>
          </w:p>
        </w:tc>
        <w:tc>
          <w:tcPr>
            <w:tcW w:w="534" w:type="dxa"/>
            <w:vAlign w:val="center"/>
          </w:tcPr>
          <w:p>
            <w:pPr>
              <w:spacing w:line="440" w:lineRule="exact"/>
              <w:jc w:val="center"/>
              <w:rPr>
                <w:rFonts w:ascii="宋体" w:hAnsi="宋体"/>
                <w:szCs w:val="21"/>
              </w:rPr>
            </w:pPr>
            <w:r>
              <w:rPr>
                <w:rFonts w:hint="eastAsia" w:ascii="宋体" w:hAnsi="宋体"/>
                <w:szCs w:val="21"/>
              </w:rPr>
              <w:t>17</w:t>
            </w:r>
          </w:p>
        </w:tc>
        <w:tc>
          <w:tcPr>
            <w:tcW w:w="533" w:type="dxa"/>
            <w:vAlign w:val="center"/>
          </w:tcPr>
          <w:p>
            <w:pPr>
              <w:spacing w:line="440" w:lineRule="exact"/>
              <w:jc w:val="center"/>
              <w:rPr>
                <w:rFonts w:ascii="宋体" w:hAnsi="宋体"/>
                <w:szCs w:val="21"/>
              </w:rPr>
            </w:pPr>
            <w:r>
              <w:rPr>
                <w:rFonts w:hint="eastAsia" w:ascii="宋体" w:hAnsi="宋体"/>
                <w:szCs w:val="21"/>
              </w:rPr>
              <w:t>18</w:t>
            </w:r>
          </w:p>
        </w:tc>
        <w:tc>
          <w:tcPr>
            <w:tcW w:w="534" w:type="dxa"/>
            <w:vAlign w:val="center"/>
          </w:tcPr>
          <w:p>
            <w:pPr>
              <w:spacing w:line="440" w:lineRule="exact"/>
              <w:jc w:val="center"/>
              <w:rPr>
                <w:rFonts w:ascii="宋体" w:hAnsi="宋体"/>
                <w:szCs w:val="21"/>
              </w:rPr>
            </w:pPr>
            <w:r>
              <w:rPr>
                <w:rFonts w:hint="eastAsia" w:ascii="宋体" w:hAnsi="宋体"/>
                <w:szCs w:val="21"/>
              </w:rPr>
              <w:t>19</w:t>
            </w:r>
          </w:p>
        </w:tc>
        <w:tc>
          <w:tcPr>
            <w:tcW w:w="534" w:type="dxa"/>
            <w:vAlign w:val="center"/>
          </w:tcPr>
          <w:p>
            <w:pPr>
              <w:spacing w:line="440" w:lineRule="exact"/>
              <w:jc w:val="center"/>
              <w:rPr>
                <w:rFonts w:ascii="宋体" w:hAnsi="宋体"/>
                <w:szCs w:val="21"/>
              </w:rPr>
            </w:pPr>
            <w:r>
              <w:rPr>
                <w:rFonts w:hint="eastAsia" w:ascii="宋体" w:hAnsi="宋体"/>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一</w:t>
            </w:r>
          </w:p>
        </w:tc>
        <w:tc>
          <w:tcPr>
            <w:tcW w:w="533" w:type="dxa"/>
            <w:vAlign w:val="center"/>
          </w:tcPr>
          <w:p>
            <w:pPr>
              <w:spacing w:line="440" w:lineRule="exact"/>
              <w:jc w:val="center"/>
              <w:rPr>
                <w:rFonts w:ascii="宋体" w:hAnsi="宋体"/>
                <w:szCs w:val="21"/>
              </w:rPr>
            </w:pPr>
          </w:p>
        </w:tc>
        <w:tc>
          <w:tcPr>
            <w:tcW w:w="534" w:type="dxa"/>
            <w:vAlign w:val="center"/>
          </w:tcPr>
          <w:p>
            <w:pPr>
              <w:spacing w:line="440" w:lineRule="exact"/>
              <w:jc w:val="center"/>
              <w:rPr>
                <w:rFonts w:ascii="宋体" w:hAnsi="宋体"/>
                <w:szCs w:val="21"/>
              </w:rPr>
            </w:pP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二</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三</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四</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五</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六</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r>
              <w:rPr>
                <w:rFonts w:hint="eastAsia" w:ascii="宋体" w:hAnsi="宋体"/>
                <w:szCs w:val="21"/>
              </w:rPr>
              <w:t>○</w:t>
            </w:r>
          </w:p>
        </w:tc>
        <w:tc>
          <w:tcPr>
            <w:tcW w:w="533" w:type="dxa"/>
            <w:vAlign w:val="center"/>
          </w:tcPr>
          <w:p>
            <w:pPr>
              <w:spacing w:line="440" w:lineRule="exact"/>
              <w:jc w:val="center"/>
              <w:rPr>
                <w:rFonts w:ascii="宋体" w:hAnsi="宋体"/>
                <w:szCs w:val="21"/>
              </w:rPr>
            </w:pPr>
            <w:r>
              <w:rPr>
                <w:rFonts w:hint="eastAsia" w:ascii="宋体" w:hAnsi="宋体"/>
                <w:szCs w:val="21"/>
              </w:rPr>
              <w:t>○</w:t>
            </w:r>
          </w:p>
        </w:tc>
        <w:tc>
          <w:tcPr>
            <w:tcW w:w="534" w:type="dxa"/>
            <w:vAlign w:val="center"/>
          </w:tcPr>
          <w:p>
            <w:pPr>
              <w:spacing w:line="440" w:lineRule="exact"/>
              <w:jc w:val="center"/>
              <w:rPr>
                <w:rFonts w:ascii="宋体" w:hAnsi="宋体"/>
                <w:szCs w:val="21"/>
              </w:rPr>
            </w:pPr>
          </w:p>
        </w:tc>
        <w:tc>
          <w:tcPr>
            <w:tcW w:w="533" w:type="dxa"/>
            <w:vAlign w:val="center"/>
          </w:tcPr>
          <w:p>
            <w:pPr>
              <w:spacing w:line="440" w:lineRule="exact"/>
              <w:jc w:val="center"/>
              <w:rPr>
                <w:rFonts w:ascii="宋体" w:hAnsi="宋体"/>
                <w:szCs w:val="21"/>
              </w:rPr>
            </w:pPr>
          </w:p>
        </w:tc>
        <w:tc>
          <w:tcPr>
            <w:tcW w:w="534" w:type="dxa"/>
            <w:vAlign w:val="center"/>
          </w:tcPr>
          <w:p>
            <w:pPr>
              <w:spacing w:line="440" w:lineRule="exact"/>
              <w:jc w:val="center"/>
              <w:rPr>
                <w:rFonts w:ascii="宋体" w:hAnsi="宋体"/>
                <w:szCs w:val="21"/>
              </w:rPr>
            </w:pPr>
          </w:p>
        </w:tc>
        <w:tc>
          <w:tcPr>
            <w:tcW w:w="533" w:type="dxa"/>
            <w:vAlign w:val="center"/>
          </w:tcPr>
          <w:p>
            <w:pPr>
              <w:spacing w:line="440" w:lineRule="exact"/>
              <w:jc w:val="center"/>
              <w:rPr>
                <w:rFonts w:ascii="宋体" w:hAnsi="宋体"/>
                <w:szCs w:val="21"/>
              </w:rPr>
            </w:pPr>
          </w:p>
        </w:tc>
        <w:tc>
          <w:tcPr>
            <w:tcW w:w="534" w:type="dxa"/>
            <w:vAlign w:val="center"/>
          </w:tcPr>
          <w:p>
            <w:pPr>
              <w:spacing w:line="440" w:lineRule="exact"/>
              <w:jc w:val="center"/>
              <w:rPr>
                <w:rFonts w:ascii="宋体" w:hAnsi="宋体"/>
                <w:szCs w:val="21"/>
              </w:rPr>
            </w:pPr>
          </w:p>
        </w:tc>
        <w:tc>
          <w:tcPr>
            <w:tcW w:w="533" w:type="dxa"/>
            <w:vAlign w:val="center"/>
          </w:tcPr>
          <w:p>
            <w:pPr>
              <w:spacing w:line="440" w:lineRule="exact"/>
              <w:jc w:val="center"/>
              <w:rPr>
                <w:rFonts w:ascii="宋体" w:hAnsi="宋体"/>
                <w:szCs w:val="21"/>
              </w:rPr>
            </w:pPr>
          </w:p>
        </w:tc>
        <w:tc>
          <w:tcPr>
            <w:tcW w:w="534" w:type="dxa"/>
            <w:vAlign w:val="center"/>
          </w:tcPr>
          <w:p>
            <w:pPr>
              <w:spacing w:line="440" w:lineRule="exact"/>
              <w:jc w:val="center"/>
              <w:rPr>
                <w:rFonts w:ascii="宋体" w:hAnsi="宋体"/>
                <w:szCs w:val="21"/>
              </w:rPr>
            </w:pPr>
          </w:p>
        </w:tc>
        <w:tc>
          <w:tcPr>
            <w:tcW w:w="534" w:type="dxa"/>
            <w:vAlign w:val="center"/>
          </w:tcPr>
          <w:p>
            <w:pPr>
              <w:spacing w:line="440" w:lineRule="exact"/>
              <w:jc w:val="center"/>
              <w:rPr>
                <w:rFonts w:ascii="宋体" w:hAnsi="宋体"/>
                <w:szCs w:val="21"/>
              </w:rPr>
            </w:pPr>
          </w:p>
        </w:tc>
      </w:tr>
    </w:tbl>
    <w:p>
      <w:pPr>
        <w:spacing w:line="440" w:lineRule="exact"/>
        <w:ind w:firstLine="1080" w:firstLineChars="450"/>
        <w:rPr>
          <w:rFonts w:ascii="宋体" w:hAnsi="宋体"/>
          <w:szCs w:val="21"/>
        </w:rPr>
      </w:pPr>
      <w:r>
        <w:rPr>
          <w:rFonts w:hint="eastAsia" w:ascii="宋体" w:hAnsi="宋体"/>
          <w:sz w:val="24"/>
        </w:rPr>
        <w:t xml:space="preserve">符号说明： </w:t>
      </w:r>
      <w:r>
        <w:rPr>
          <w:rFonts w:hint="eastAsia" w:ascii="宋体" w:hAnsi="宋体"/>
          <w:szCs w:val="21"/>
        </w:rPr>
        <w:t>★--军训，☆</w:t>
      </w:r>
      <w:r>
        <w:rPr>
          <w:rFonts w:ascii="宋体" w:hAnsi="宋体"/>
          <w:szCs w:val="21"/>
        </w:rPr>
        <w:t>—</w:t>
      </w:r>
      <w:r>
        <w:rPr>
          <w:rFonts w:hint="eastAsia" w:ascii="宋体" w:hAnsi="宋体"/>
          <w:szCs w:val="21"/>
        </w:rPr>
        <w:t>社会实践，■--理论教学，▲</w:t>
      </w:r>
      <w:r>
        <w:rPr>
          <w:rFonts w:ascii="宋体" w:hAnsi="宋体"/>
          <w:szCs w:val="21"/>
        </w:rPr>
        <w:t>—</w:t>
      </w:r>
      <w:r>
        <w:rPr>
          <w:rFonts w:hint="eastAsia" w:ascii="宋体" w:hAnsi="宋体"/>
          <w:szCs w:val="21"/>
        </w:rPr>
        <w:t xml:space="preserve">顶岗实习，△--校内实训， ○ -毕业设计（论文）， ●-考试 </w:t>
      </w:r>
    </w:p>
    <w:p>
      <w:pPr>
        <w:spacing w:line="440" w:lineRule="exact"/>
        <w:rPr>
          <w:rFonts w:ascii="宋体" w:hAnsi="宋体"/>
          <w:sz w:val="24"/>
        </w:rPr>
      </w:pPr>
    </w:p>
    <w:p>
      <w:pPr>
        <w:widowControl/>
        <w:spacing w:line="400" w:lineRule="exact"/>
        <w:rPr>
          <w:rFonts w:asciiTheme="minorEastAsia" w:hAnsiTheme="minorEastAsia"/>
          <w:b/>
          <w:sz w:val="28"/>
        </w:rPr>
      </w:pPr>
    </w:p>
    <w:p>
      <w:pPr>
        <w:widowControl/>
        <w:spacing w:line="400" w:lineRule="exact"/>
        <w:rPr>
          <w:rFonts w:asciiTheme="minorEastAsia" w:hAnsiTheme="minorEastAsia"/>
          <w:b/>
          <w:sz w:val="28"/>
        </w:rPr>
      </w:pPr>
    </w:p>
    <w:p>
      <w:pPr>
        <w:widowControl/>
        <w:spacing w:line="400" w:lineRule="exact"/>
        <w:rPr>
          <w:rFonts w:asciiTheme="minorEastAsia" w:hAnsiTheme="minorEastAsia"/>
          <w:b/>
          <w:sz w:val="28"/>
        </w:rPr>
      </w:pPr>
    </w:p>
    <w:p>
      <w:pPr>
        <w:widowControl/>
        <w:spacing w:line="400" w:lineRule="exact"/>
        <w:rPr>
          <w:rFonts w:asciiTheme="minorEastAsia" w:hAnsiTheme="minorEastAsia"/>
          <w:b/>
          <w:sz w:val="28"/>
        </w:rPr>
      </w:pPr>
    </w:p>
    <w:p>
      <w:pPr>
        <w:widowControl/>
        <w:spacing w:line="400" w:lineRule="exact"/>
        <w:rPr>
          <w:rFonts w:asciiTheme="minorEastAsia" w:hAnsiTheme="minorEastAsia"/>
          <w:b/>
          <w:sz w:val="28"/>
        </w:rPr>
      </w:pPr>
      <w:r>
        <w:rPr>
          <w:rFonts w:hint="eastAsia" w:asciiTheme="minorEastAsia" w:hAnsiTheme="minorEastAsia"/>
          <w:b/>
          <w:sz w:val="28"/>
        </w:rPr>
        <w:t>附件二：</w:t>
      </w:r>
    </w:p>
    <w:p>
      <w:pPr>
        <w:widowControl/>
        <w:spacing w:line="400" w:lineRule="exact"/>
        <w:rPr>
          <w:rFonts w:asciiTheme="minorEastAsia" w:hAnsiTheme="minorEastAsia"/>
          <w:b/>
          <w:sz w:val="28"/>
        </w:rPr>
      </w:pPr>
    </w:p>
    <w:p>
      <w:pPr>
        <w:widowControl/>
        <w:spacing w:line="400" w:lineRule="exact"/>
        <w:rPr>
          <w:rFonts w:asciiTheme="minorEastAsia" w:hAnsiTheme="minorEastAsia"/>
          <w:b/>
          <w:sz w:val="28"/>
        </w:rPr>
      </w:pPr>
    </w:p>
    <w:tbl>
      <w:tblPr>
        <w:tblStyle w:val="17"/>
        <w:tblW w:w="11880" w:type="dxa"/>
        <w:tblInd w:w="91" w:type="dxa"/>
        <w:tblLayout w:type="autofit"/>
        <w:tblCellMar>
          <w:top w:w="0" w:type="dxa"/>
          <w:left w:w="108" w:type="dxa"/>
          <w:bottom w:w="0" w:type="dxa"/>
          <w:right w:w="108" w:type="dxa"/>
        </w:tblCellMar>
      </w:tblPr>
      <w:tblGrid>
        <w:gridCol w:w="1080"/>
        <w:gridCol w:w="1080"/>
        <w:gridCol w:w="1080"/>
        <w:gridCol w:w="1080"/>
        <w:gridCol w:w="1080"/>
        <w:gridCol w:w="1080"/>
        <w:gridCol w:w="1080"/>
        <w:gridCol w:w="1080"/>
        <w:gridCol w:w="1080"/>
        <w:gridCol w:w="1080"/>
        <w:gridCol w:w="1080"/>
      </w:tblGrid>
      <w:tr>
        <w:tblPrEx>
          <w:tblCellMar>
            <w:top w:w="0" w:type="dxa"/>
            <w:left w:w="108" w:type="dxa"/>
            <w:bottom w:w="0" w:type="dxa"/>
            <w:right w:w="108" w:type="dxa"/>
          </w:tblCellMar>
        </w:tblPrEx>
        <w:trPr>
          <w:trHeight w:val="465" w:hRule="atLeast"/>
        </w:trPr>
        <w:tc>
          <w:tcPr>
            <w:tcW w:w="108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建议修读时间</w:t>
            </w:r>
          </w:p>
        </w:tc>
        <w:tc>
          <w:tcPr>
            <w:tcW w:w="1080" w:type="dxa"/>
            <w:tcBorders>
              <w:top w:val="single" w:color="000000" w:sz="8"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课程编号</w:t>
            </w:r>
          </w:p>
        </w:tc>
        <w:tc>
          <w:tcPr>
            <w:tcW w:w="1080" w:type="dxa"/>
            <w:tcBorders>
              <w:top w:val="single" w:color="000000" w:sz="8"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课程名称</w:t>
            </w:r>
          </w:p>
        </w:tc>
        <w:tc>
          <w:tcPr>
            <w:tcW w:w="1080" w:type="dxa"/>
            <w:tcBorders>
              <w:top w:val="single" w:color="000000" w:sz="8"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课程性质</w:t>
            </w:r>
          </w:p>
        </w:tc>
        <w:tc>
          <w:tcPr>
            <w:tcW w:w="1080" w:type="dxa"/>
            <w:tcBorders>
              <w:top w:val="single" w:color="000000" w:sz="8"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学分</w:t>
            </w:r>
          </w:p>
        </w:tc>
        <w:tc>
          <w:tcPr>
            <w:tcW w:w="1080" w:type="dxa"/>
            <w:tcBorders>
              <w:top w:val="single" w:color="000000" w:sz="8"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学时</w:t>
            </w:r>
          </w:p>
        </w:tc>
        <w:tc>
          <w:tcPr>
            <w:tcW w:w="5400"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学时分配</w:t>
            </w:r>
          </w:p>
        </w:tc>
      </w:tr>
      <w:tr>
        <w:tblPrEx>
          <w:tblCellMar>
            <w:top w:w="0" w:type="dxa"/>
            <w:left w:w="108" w:type="dxa"/>
            <w:bottom w:w="0" w:type="dxa"/>
            <w:right w:w="108" w:type="dxa"/>
          </w:tblCellMar>
        </w:tblPrEx>
        <w:trPr>
          <w:trHeight w:val="300"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pPr>
              <w:spacing w:line="240" w:lineRule="auto"/>
              <w:jc w:val="left"/>
              <w:rPr>
                <w:rFonts w:ascii="宋体" w:hAnsi="宋体" w:eastAsia="宋体" w:cs="宋体"/>
                <w:b/>
                <w:bCs/>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spacing w:line="240" w:lineRule="auto"/>
              <w:jc w:val="left"/>
              <w:rPr>
                <w:rFonts w:ascii="宋体" w:hAnsi="宋体" w:eastAsia="宋体" w:cs="宋体"/>
                <w:b/>
                <w:bCs/>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spacing w:line="240" w:lineRule="auto"/>
              <w:jc w:val="left"/>
              <w:rPr>
                <w:rFonts w:ascii="宋体" w:hAnsi="宋体" w:eastAsia="宋体" w:cs="宋体"/>
                <w:b/>
                <w:bCs/>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spacing w:line="240" w:lineRule="auto"/>
              <w:jc w:val="left"/>
              <w:rPr>
                <w:rFonts w:ascii="宋体" w:hAnsi="宋体" w:eastAsia="宋体" w:cs="宋体"/>
                <w:b/>
                <w:bCs/>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spacing w:line="240" w:lineRule="auto"/>
              <w:jc w:val="left"/>
              <w:rPr>
                <w:rFonts w:ascii="宋体" w:hAnsi="宋体" w:eastAsia="宋体" w:cs="宋体"/>
                <w:b/>
                <w:bCs/>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spacing w:line="240" w:lineRule="auto"/>
              <w:jc w:val="left"/>
              <w:rPr>
                <w:rFonts w:ascii="宋体" w:hAnsi="宋体" w:eastAsia="宋体" w:cs="宋体"/>
                <w:b/>
                <w:bCs/>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理论</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实践</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周学时</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课程类别</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b/>
                <w:bCs/>
                <w:color w:val="000000"/>
                <w:sz w:val="18"/>
                <w:szCs w:val="18"/>
              </w:rPr>
            </w:pPr>
            <w:r>
              <w:rPr>
                <w:rFonts w:hint="eastAsia" w:ascii="宋体" w:hAnsi="宋体" w:eastAsia="宋体" w:cs="宋体"/>
                <w:b/>
                <w:bCs/>
                <w:color w:val="000000"/>
                <w:kern w:val="0"/>
                <w:sz w:val="18"/>
                <w:szCs w:val="18"/>
              </w:rPr>
              <w:t>备注</w:t>
            </w:r>
          </w:p>
        </w:tc>
      </w:tr>
      <w:tr>
        <w:tblPrEx>
          <w:tblCellMar>
            <w:top w:w="0" w:type="dxa"/>
            <w:left w:w="108" w:type="dxa"/>
            <w:bottom w:w="0" w:type="dxa"/>
            <w:right w:w="108" w:type="dxa"/>
          </w:tblCellMar>
        </w:tblPrEx>
        <w:trPr>
          <w:trHeight w:val="690" w:hRule="atLeast"/>
        </w:trPr>
        <w:tc>
          <w:tcPr>
            <w:tcW w:w="1080" w:type="dxa"/>
            <w:vMerge w:val="restart"/>
            <w:tcBorders>
              <w:top w:val="single" w:color="000000" w:sz="8" w:space="0"/>
              <w:left w:val="single" w:color="000000" w:sz="8" w:space="0"/>
              <w:bottom w:val="nil"/>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第一学期（16+4周）</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zjc0103</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入学教育、国防教育（军训）</w:t>
            </w:r>
          </w:p>
        </w:tc>
        <w:tc>
          <w:tcPr>
            <w:tcW w:w="1080" w:type="dxa"/>
            <w:tcBorders>
              <w:top w:val="nil"/>
              <w:left w:val="nil"/>
              <w:bottom w:val="nil"/>
              <w:right w:val="single" w:color="000000" w:sz="8" w:space="0"/>
            </w:tcBorders>
            <w:shd w:val="clear" w:color="auto" w:fill="auto"/>
            <w:vAlign w:val="center"/>
          </w:tcPr>
          <w:p>
            <w:pPr>
              <w:spacing w:line="240" w:lineRule="auto"/>
              <w:jc w:val="left"/>
              <w:rPr>
                <w:rFonts w:ascii="宋体" w:hAnsi="宋体" w:eastAsia="宋体" w:cs="宋体"/>
                <w:b/>
                <w:bCs/>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50</w:t>
            </w: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b/>
                <w:bCs/>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zjc0104</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left"/>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劳动教育</w:t>
            </w:r>
          </w:p>
        </w:tc>
        <w:tc>
          <w:tcPr>
            <w:tcW w:w="1080" w:type="dxa"/>
            <w:tcBorders>
              <w:top w:val="single" w:color="000000" w:sz="8" w:space="0"/>
              <w:left w:val="nil"/>
              <w:bottom w:val="nil"/>
              <w:right w:val="single" w:color="000000" w:sz="8" w:space="0"/>
            </w:tcBorders>
            <w:shd w:val="clear" w:color="auto" w:fill="auto"/>
            <w:vAlign w:val="center"/>
          </w:tcPr>
          <w:p>
            <w:pPr>
              <w:spacing w:line="240" w:lineRule="auto"/>
              <w:jc w:val="left"/>
              <w:rPr>
                <w:rFonts w:ascii="宋体" w:hAnsi="宋体" w:eastAsia="宋体" w:cs="宋体"/>
                <w:b/>
                <w:bCs/>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zjc0105</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语文</w:t>
            </w:r>
          </w:p>
        </w:tc>
        <w:tc>
          <w:tcPr>
            <w:tcW w:w="10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pStyle w:val="88"/>
              <w:spacing w:line="240" w:lineRule="auto"/>
              <w:jc w:val="center"/>
              <w:rPr>
                <w:color w:val="000000" w:themeColor="text1"/>
                <w:sz w:val="18"/>
                <w14:textFill>
                  <w14:solidFill>
                    <w14:schemeClr w14:val="tx1"/>
                  </w14:solidFill>
                </w14:textFill>
              </w:rPr>
            </w:pPr>
            <w:r>
              <w:rPr>
                <w:rFonts w:hint="eastAsia" w:ascii="宋体" w:hAnsi="宋体" w:eastAsia="宋体" w:cs="宋体"/>
                <w:color w:val="000000"/>
                <w:kern w:val="0"/>
                <w:sz w:val="18"/>
                <w:szCs w:val="18"/>
              </w:rPr>
              <w:t>必修</w:t>
            </w:r>
          </w:p>
          <w:p>
            <w:pPr>
              <w:widowControl/>
              <w:spacing w:line="240" w:lineRule="auto"/>
              <w:jc w:val="center"/>
              <w:textAlignment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数学</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zjc0107</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英语</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gjc0108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计算机应用基础</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zjc0110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音乐</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zjc0109</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体育与健康</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德育</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sz w:val="18"/>
                <w:szCs w:val="18"/>
              </w:rPr>
            </w:pPr>
            <w:r>
              <w:rPr>
                <w:rFonts w:hint="eastAsia"/>
                <w:sz w:val="18"/>
                <w:szCs w:val="18"/>
              </w:rPr>
              <w:t>zdq0201</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color w:val="000000" w:themeColor="text1"/>
                <w:kern w:val="2"/>
                <w:sz w:val="18"/>
                <w:szCs w:val="18"/>
                <w:lang w:val="en-US"/>
                <w14:textFill>
                  <w14:solidFill>
                    <w14:schemeClr w14:val="tx1"/>
                  </w14:solidFill>
                </w14:textFill>
              </w:rPr>
            </w:pPr>
            <w:r>
              <w:rPr>
                <w:rFonts w:hint="eastAsia"/>
                <w:color w:val="000000" w:themeColor="text1"/>
                <w:kern w:val="2"/>
                <w:sz w:val="18"/>
                <w:szCs w:val="18"/>
                <w:lang w:val="en-US"/>
                <w14:textFill>
                  <w14:solidFill>
                    <w14:schemeClr w14:val="tx1"/>
                  </w14:solidFill>
                </w14:textFill>
              </w:rPr>
              <w:t>电工基础1</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专业核心</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sz w:val="18"/>
                <w:szCs w:val="18"/>
              </w:rPr>
            </w:pPr>
            <w:r>
              <w:rPr>
                <w:rFonts w:hint="eastAsia"/>
                <w:sz w:val="18"/>
                <w:szCs w:val="18"/>
              </w:rPr>
              <w:t>zdq0202</w:t>
            </w:r>
          </w:p>
        </w:tc>
        <w:tc>
          <w:tcPr>
            <w:tcW w:w="1080" w:type="dxa"/>
            <w:tcBorders>
              <w:top w:val="nil"/>
              <w:left w:val="nil"/>
              <w:bottom w:val="single" w:color="000000" w:sz="8" w:space="0"/>
              <w:right w:val="single" w:color="000000" w:sz="8" w:space="0"/>
            </w:tcBorders>
            <w:shd w:val="clear" w:color="auto" w:fill="FFFFFF"/>
            <w:vAlign w:val="center"/>
          </w:tcPr>
          <w:p>
            <w:pPr>
              <w:autoSpaceDE w:val="0"/>
              <w:autoSpaceDN w:val="0"/>
              <w:spacing w:line="240"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电子技术基础1</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val="en-US" w:eastAsia="zh-CN"/>
              </w:rPr>
              <w:t>2</w:t>
            </w: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val="en-US" w:eastAsia="zh-CN"/>
              </w:rPr>
              <w:t>8</w:t>
            </w:r>
            <w:r>
              <w:rPr>
                <w:rFonts w:hint="eastAsia" w:ascii="宋体" w:hAnsi="宋体" w:eastAsia="宋体" w:cs="宋体"/>
                <w:color w:val="000000"/>
                <w:kern w:val="0"/>
                <w:sz w:val="18"/>
                <w:szCs w:val="18"/>
              </w:rPr>
              <w:t>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sz w:val="18"/>
                <w:szCs w:val="18"/>
              </w:rPr>
            </w:pPr>
            <w:r>
              <w:rPr>
                <w:rFonts w:hint="eastAsia"/>
                <w:sz w:val="18"/>
                <w:szCs w:val="18"/>
              </w:rPr>
              <w:t>zdq0204</w:t>
            </w:r>
          </w:p>
        </w:tc>
        <w:tc>
          <w:tcPr>
            <w:tcW w:w="1080" w:type="dxa"/>
            <w:tcBorders>
              <w:top w:val="nil"/>
              <w:left w:val="nil"/>
              <w:bottom w:val="single" w:color="000000" w:sz="8" w:space="0"/>
              <w:right w:val="single" w:color="000000" w:sz="8" w:space="0"/>
            </w:tcBorders>
            <w:shd w:val="clear" w:color="auto" w:fill="FFFFFF"/>
            <w:vAlign w:val="center"/>
          </w:tcPr>
          <w:p>
            <w:pPr>
              <w:autoSpaceDE w:val="0"/>
              <w:autoSpaceDN w:val="0"/>
              <w:spacing w:line="240"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安全用电</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FF0000"/>
                <w:sz w:val="18"/>
                <w:szCs w:val="18"/>
              </w:rPr>
            </w:pPr>
            <w:r>
              <w:rPr>
                <w:rFonts w:hint="eastAsia"/>
                <w:sz w:val="18"/>
                <w:szCs w:val="18"/>
              </w:rPr>
              <w:t>zdq0207</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电工技能实训</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285" w:hRule="atLeast"/>
        </w:trPr>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合计</w:t>
            </w: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584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252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332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w:t>
            </w: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等线" w:hAnsi="等线" w:eastAsia="等线" w:cs="等线"/>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等线" w:hAnsi="等线" w:eastAsia="等线" w:cs="等线"/>
                <w:color w:val="000000"/>
                <w:sz w:val="18"/>
                <w:szCs w:val="18"/>
              </w:rPr>
            </w:pPr>
          </w:p>
        </w:tc>
      </w:tr>
      <w:tr>
        <w:tblPrEx>
          <w:tblCellMar>
            <w:top w:w="0" w:type="dxa"/>
            <w:left w:w="108" w:type="dxa"/>
            <w:bottom w:w="0" w:type="dxa"/>
            <w:right w:w="108" w:type="dxa"/>
          </w:tblCellMar>
        </w:tblPrEx>
        <w:trPr>
          <w:trHeight w:val="28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第二学期（18+2周）</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zjc0105</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语文</w:t>
            </w:r>
          </w:p>
        </w:tc>
        <w:tc>
          <w:tcPr>
            <w:tcW w:w="10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必修</w:t>
            </w:r>
          </w:p>
        </w:tc>
        <w:tc>
          <w:tcPr>
            <w:tcW w:w="1080" w:type="dxa"/>
            <w:tcBorders>
              <w:top w:val="nil"/>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28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数学</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zjc0107</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英语</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德育</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zjc0110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音乐</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trHeight w:val="28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zjc0109</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体育与健康</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sz w:val="18"/>
                <w:szCs w:val="18"/>
              </w:rPr>
            </w:pPr>
            <w:r>
              <w:rPr>
                <w:rFonts w:hint="eastAsia"/>
                <w:sz w:val="18"/>
                <w:szCs w:val="18"/>
              </w:rPr>
              <w:t>zdq0201</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color w:val="000000" w:themeColor="text1"/>
                <w:sz w:val="18"/>
                <w:szCs w:val="18"/>
                <w:lang w:val="en-US"/>
                <w14:textFill>
                  <w14:solidFill>
                    <w14:schemeClr w14:val="tx1"/>
                  </w14:solidFill>
                </w14:textFill>
              </w:rPr>
            </w:pPr>
            <w:r>
              <w:rPr>
                <w:rFonts w:hint="eastAsia"/>
                <w:color w:val="000000" w:themeColor="text1"/>
                <w:kern w:val="2"/>
                <w:sz w:val="18"/>
                <w:szCs w:val="18"/>
                <w:lang w:val="en-US"/>
                <w14:textFill>
                  <w14:solidFill>
                    <w14:schemeClr w14:val="tx1"/>
                  </w14:solidFill>
                </w14:textFill>
              </w:rPr>
              <w:t>电工基础2</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88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sz w:val="18"/>
                <w:szCs w:val="18"/>
              </w:rPr>
            </w:pPr>
            <w:r>
              <w:rPr>
                <w:rFonts w:hint="eastAsia"/>
                <w:sz w:val="18"/>
                <w:szCs w:val="18"/>
              </w:rPr>
              <w:t>zdq0202</w:t>
            </w:r>
          </w:p>
        </w:tc>
        <w:tc>
          <w:tcPr>
            <w:tcW w:w="1080" w:type="dxa"/>
            <w:tcBorders>
              <w:top w:val="nil"/>
              <w:left w:val="nil"/>
              <w:bottom w:val="single" w:color="000000" w:sz="8" w:space="0"/>
              <w:right w:val="single" w:color="000000" w:sz="8" w:space="0"/>
            </w:tcBorders>
            <w:shd w:val="clear" w:color="auto" w:fill="FFFFFF"/>
            <w:vAlign w:val="center"/>
          </w:tcPr>
          <w:p>
            <w:pPr>
              <w:autoSpaceDE w:val="0"/>
              <w:autoSpaceDN w:val="0"/>
              <w:spacing w:line="240"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电子技术基础2</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val="en-US" w:eastAsia="zh-CN"/>
              </w:rPr>
              <w:t>1</w:t>
            </w: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val="en-US" w:eastAsia="zh-CN"/>
              </w:rPr>
              <w:t>6</w:t>
            </w: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sz w:val="18"/>
                <w:szCs w:val="18"/>
              </w:rPr>
            </w:pPr>
            <w:r>
              <w:rPr>
                <w:rFonts w:hint="eastAsia"/>
                <w:sz w:val="18"/>
                <w:szCs w:val="18"/>
              </w:rPr>
              <w:t>zdq0206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color w:val="000000" w:themeColor="text1"/>
                <w:kern w:val="2"/>
                <w:sz w:val="18"/>
                <w:szCs w:val="18"/>
                <w:lang w:val="en-US"/>
                <w14:textFill>
                  <w14:solidFill>
                    <w14:schemeClr w14:val="tx1"/>
                  </w14:solidFill>
                </w14:textFill>
              </w:rPr>
            </w:pPr>
            <w:r>
              <w:rPr>
                <w:rFonts w:hint="eastAsia"/>
                <w:color w:val="000000" w:themeColor="text1"/>
                <w:kern w:val="2"/>
                <w:sz w:val="18"/>
                <w:szCs w:val="18"/>
                <w:lang w:val="en-US"/>
                <w14:textFill>
                  <w14:solidFill>
                    <w14:schemeClr w14:val="tx1"/>
                  </w14:solidFill>
                </w14:textFill>
              </w:rPr>
              <w:t>电子CAD</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专业核心</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sz w:val="18"/>
                <w:szCs w:val="18"/>
              </w:rPr>
            </w:pPr>
            <w:r>
              <w:rPr>
                <w:rFonts w:hint="eastAsia"/>
                <w:sz w:val="18"/>
                <w:szCs w:val="18"/>
              </w:rPr>
              <w:t>zdq0208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电力法律法规教程</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专业核心</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28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合计</w:t>
            </w: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themeColor="text1"/>
                <w:sz w:val="13"/>
                <w:szCs w:val="13"/>
                <w14:textFill>
                  <w14:solidFill>
                    <w14:schemeClr w14:val="tx1"/>
                  </w14:solidFill>
                </w14:textFill>
              </w:rPr>
            </w:pP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3"/>
                <w:szCs w:val="13"/>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504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230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274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w:t>
            </w: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等线" w:hAnsi="等线" w:eastAsia="等线" w:cs="等线"/>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等线" w:hAnsi="等线" w:eastAsia="等线" w:cs="等线"/>
                <w:color w:val="000000"/>
                <w:sz w:val="18"/>
                <w:szCs w:val="18"/>
              </w:rPr>
            </w:pPr>
          </w:p>
        </w:tc>
      </w:tr>
      <w:tr>
        <w:tblPrEx>
          <w:tblCellMar>
            <w:top w:w="0" w:type="dxa"/>
            <w:left w:w="108" w:type="dxa"/>
            <w:bottom w:w="0" w:type="dxa"/>
            <w:right w:w="108" w:type="dxa"/>
          </w:tblCellMar>
        </w:tblPrEx>
        <w:trPr>
          <w:trHeight w:val="285" w:hRule="atLeast"/>
        </w:trPr>
        <w:tc>
          <w:tcPr>
            <w:tcW w:w="1080"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第三学期（18+2周）</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zjc0105</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语文</w:t>
            </w:r>
          </w:p>
        </w:tc>
        <w:tc>
          <w:tcPr>
            <w:tcW w:w="1080" w:type="dxa"/>
            <w:vMerge w:val="restart"/>
            <w:tcBorders>
              <w:top w:val="single" w:color="000000" w:sz="8" w:space="0"/>
              <w:left w:val="single" w:color="000000" w:sz="8" w:space="0"/>
              <w:bottom w:val="nil"/>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必修　</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28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数学</w:t>
            </w:r>
          </w:p>
        </w:tc>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zjc0107</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英语</w:t>
            </w:r>
          </w:p>
        </w:tc>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德育</w:t>
            </w:r>
          </w:p>
        </w:tc>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wsk0412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企业文化概论</w:t>
            </w:r>
          </w:p>
        </w:tc>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专业拓展</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trHeight w:val="300"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sz w:val="18"/>
                <w:szCs w:val="18"/>
              </w:rPr>
            </w:pPr>
            <w:r>
              <w:rPr>
                <w:rFonts w:hint="eastAsia"/>
                <w:sz w:val="18"/>
                <w:szCs w:val="18"/>
              </w:rPr>
              <w:t>zdq0203</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color w:val="000000" w:themeColor="text1"/>
                <w:kern w:val="2"/>
                <w:sz w:val="18"/>
                <w:szCs w:val="18"/>
                <w:lang w:val="en-US"/>
                <w14:textFill>
                  <w14:solidFill>
                    <w14:schemeClr w14:val="tx1"/>
                  </w14:solidFill>
                </w14:textFill>
              </w:rPr>
            </w:pPr>
            <w:r>
              <w:rPr>
                <w:rFonts w:hint="eastAsia"/>
                <w:color w:val="000000" w:themeColor="text1"/>
                <w:kern w:val="2"/>
                <w:sz w:val="18"/>
                <w:szCs w:val="18"/>
                <w:lang w:val="en-US"/>
                <w14:textFill>
                  <w14:solidFill>
                    <w14:schemeClr w14:val="tx1"/>
                  </w14:solidFill>
                </w14:textFill>
              </w:rPr>
              <w:t>电气控制与PLC1</w:t>
            </w:r>
          </w:p>
        </w:tc>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pStyle w:val="12"/>
              <w:autoSpaceDE w:val="0"/>
              <w:autoSpaceDN w:val="0"/>
              <w:snapToGrid/>
              <w:spacing w:line="240" w:lineRule="auto"/>
              <w:jc w:val="center"/>
              <w:rPr>
                <w:rFonts w:ascii="宋体" w:hAnsi="宋体" w:eastAsia="宋体" w:cs="宋体"/>
              </w:rPr>
            </w:pPr>
            <w:r>
              <w:rPr>
                <w:rFonts w:hint="eastAsia" w:ascii="宋体" w:hAnsi="宋体" w:eastAsia="宋体" w:cs="宋体"/>
              </w:rPr>
              <w:t>zdq0301</w:t>
            </w:r>
          </w:p>
        </w:tc>
        <w:tc>
          <w:tcPr>
            <w:tcW w:w="1080" w:type="dxa"/>
            <w:tcBorders>
              <w:top w:val="nil"/>
              <w:left w:val="nil"/>
              <w:bottom w:val="single" w:color="000000" w:sz="8" w:space="0"/>
              <w:right w:val="single" w:color="000000" w:sz="8" w:space="0"/>
            </w:tcBorders>
            <w:shd w:val="clear" w:color="auto" w:fill="FFFFFF"/>
            <w:vAlign w:val="center"/>
          </w:tcPr>
          <w:p>
            <w:pPr>
              <w:autoSpaceDE w:val="0"/>
              <w:autoSpaceDN w:val="0"/>
              <w:spacing w:line="240" w:lineRule="auto"/>
              <w:jc w:val="center"/>
              <w:rPr>
                <w:rFonts w:ascii="宋体" w:hAnsi="宋体" w:eastAsia="宋体" w:cs="宋体"/>
                <w:color w:val="000000" w:themeColor="text1"/>
                <w:sz w:val="16"/>
                <w:szCs w:val="16"/>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制冷1</w:t>
            </w:r>
          </w:p>
        </w:tc>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专业核心</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pStyle w:val="12"/>
              <w:autoSpaceDE w:val="0"/>
              <w:autoSpaceDN w:val="0"/>
              <w:snapToGrid/>
              <w:spacing w:line="240" w:lineRule="auto"/>
              <w:jc w:val="center"/>
              <w:rPr>
                <w:rFonts w:ascii="宋体" w:hAnsi="宋体" w:eastAsia="宋体" w:cs="宋体"/>
              </w:rPr>
            </w:pPr>
            <w:r>
              <w:rPr>
                <w:rFonts w:hint="eastAsia" w:ascii="宋体" w:hAnsi="宋体" w:eastAsia="宋体" w:cs="宋体"/>
              </w:rPr>
              <w:t>zdq0205</w:t>
            </w:r>
          </w:p>
        </w:tc>
        <w:tc>
          <w:tcPr>
            <w:tcW w:w="1080" w:type="dxa"/>
            <w:tcBorders>
              <w:top w:val="nil"/>
              <w:left w:val="nil"/>
              <w:bottom w:val="single" w:color="000000" w:sz="8" w:space="0"/>
              <w:right w:val="single" w:color="000000" w:sz="8" w:space="0"/>
            </w:tcBorders>
            <w:shd w:val="clear" w:color="auto" w:fill="FFFFFF"/>
            <w:vAlign w:val="center"/>
          </w:tcPr>
          <w:p>
            <w:pPr>
              <w:autoSpaceDE w:val="0"/>
              <w:autoSpaceDN w:val="0"/>
              <w:spacing w:line="240"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单片机原理及应用1</w:t>
            </w:r>
          </w:p>
        </w:tc>
        <w:tc>
          <w:tcPr>
            <w:tcW w:w="1080" w:type="dxa"/>
            <w:vMerge w:val="continue"/>
            <w:tcBorders>
              <w:top w:val="single" w:color="000000" w:sz="8" w:space="0"/>
              <w:left w:val="single" w:color="000000" w:sz="8" w:space="0"/>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专业核心</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sz w:val="18"/>
                <w:szCs w:val="18"/>
                <w:lang w:val="en-US"/>
              </w:rPr>
            </w:pPr>
            <w:r>
              <w:rPr>
                <w:rFonts w:hint="eastAsia"/>
                <w:sz w:val="18"/>
                <w:szCs w:val="18"/>
              </w:rPr>
              <w:t>zdq0304</w:t>
            </w:r>
          </w:p>
        </w:tc>
        <w:tc>
          <w:tcPr>
            <w:tcW w:w="1080" w:type="dxa"/>
            <w:tcBorders>
              <w:top w:val="nil"/>
              <w:left w:val="nil"/>
              <w:bottom w:val="single" w:color="000000" w:sz="8" w:space="0"/>
              <w:right w:val="single" w:color="000000" w:sz="8" w:space="0"/>
            </w:tcBorders>
            <w:shd w:val="clear" w:color="auto" w:fill="FFFFFF"/>
            <w:vAlign w:val="center"/>
          </w:tcPr>
          <w:p>
            <w:pPr>
              <w:autoSpaceDE w:val="0"/>
              <w:autoSpaceDN w:val="0"/>
              <w:spacing w:line="240"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低压电气设备</w:t>
            </w:r>
          </w:p>
        </w:tc>
        <w:tc>
          <w:tcPr>
            <w:tcW w:w="1080" w:type="dxa"/>
            <w:tcBorders>
              <w:top w:val="nil"/>
              <w:left w:val="nil"/>
              <w:bottom w:val="nil"/>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合计</w:t>
            </w: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single" w:color="000000" w:sz="8" w:space="0"/>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540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248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292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w:t>
            </w: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等线" w:hAnsi="等线" w:eastAsia="等线" w:cs="等线"/>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等线" w:hAnsi="等线" w:eastAsia="等线" w:cs="等线"/>
                <w:color w:val="000000"/>
                <w:sz w:val="18"/>
                <w:szCs w:val="18"/>
              </w:rPr>
            </w:pPr>
          </w:p>
        </w:tc>
      </w:tr>
      <w:tr>
        <w:tblPrEx>
          <w:tblCellMar>
            <w:top w:w="0" w:type="dxa"/>
            <w:left w:w="108" w:type="dxa"/>
            <w:bottom w:w="0" w:type="dxa"/>
            <w:right w:w="108" w:type="dxa"/>
          </w:tblCellMar>
        </w:tblPrEx>
        <w:trPr>
          <w:trHeight w:val="30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第四学期（18+2周）</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zjc0105</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语文</w:t>
            </w:r>
          </w:p>
        </w:tc>
        <w:tc>
          <w:tcPr>
            <w:tcW w:w="10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数学</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zjc0107</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英语</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zjc0108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德育</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wsk0412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企业文化概论</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专业拓展</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sz w:val="18"/>
                <w:szCs w:val="18"/>
              </w:rPr>
            </w:pPr>
            <w:r>
              <w:rPr>
                <w:rFonts w:hint="eastAsia"/>
                <w:sz w:val="18"/>
                <w:szCs w:val="18"/>
              </w:rPr>
              <w:t>zdq0203</w:t>
            </w:r>
          </w:p>
        </w:tc>
        <w:tc>
          <w:tcPr>
            <w:tcW w:w="1080" w:type="dxa"/>
            <w:tcBorders>
              <w:top w:val="nil"/>
              <w:left w:val="nil"/>
              <w:bottom w:val="single" w:color="000000" w:sz="8" w:space="0"/>
              <w:right w:val="single" w:color="000000" w:sz="8" w:space="0"/>
            </w:tcBorders>
            <w:shd w:val="clear" w:color="auto" w:fill="FFFFFF"/>
            <w:vAlign w:val="center"/>
          </w:tcPr>
          <w:p>
            <w:pPr>
              <w:autoSpaceDE w:val="0"/>
              <w:autoSpaceDN w:val="0"/>
              <w:spacing w:line="240"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电气控制与PLC2</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专业核心</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sz w:val="18"/>
                <w:szCs w:val="18"/>
              </w:rPr>
            </w:pPr>
            <w:r>
              <w:rPr>
                <w:rFonts w:hint="eastAsia"/>
                <w:sz w:val="18"/>
                <w:szCs w:val="18"/>
              </w:rPr>
              <w:t>zdq0301</w:t>
            </w:r>
          </w:p>
        </w:tc>
        <w:tc>
          <w:tcPr>
            <w:tcW w:w="1080" w:type="dxa"/>
            <w:tcBorders>
              <w:top w:val="nil"/>
              <w:left w:val="nil"/>
              <w:bottom w:val="single" w:color="000000" w:sz="8" w:space="0"/>
              <w:right w:val="single" w:color="000000" w:sz="8" w:space="0"/>
            </w:tcBorders>
            <w:shd w:val="clear" w:color="auto" w:fill="FFFFFF"/>
            <w:vAlign w:val="center"/>
          </w:tcPr>
          <w:p>
            <w:pPr>
              <w:autoSpaceDE w:val="0"/>
              <w:autoSpaceDN w:val="0"/>
              <w:spacing w:line="240"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制冷2</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等线" w:hAnsi="等线" w:eastAsia="等线" w:cs="等线"/>
                <w:color w:val="000000"/>
                <w:sz w:val="18"/>
                <w:szCs w:val="18"/>
              </w:rPr>
            </w:pPr>
            <w:r>
              <w:rPr>
                <w:rFonts w:hint="eastAsia" w:ascii="等线" w:hAnsi="等线" w:eastAsia="等线" w:cs="等线"/>
                <w:color w:val="000000"/>
                <w:kern w:val="0"/>
                <w:sz w:val="18"/>
                <w:szCs w:val="18"/>
              </w:rPr>
              <w:t>专业基础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FF0000"/>
                <w:sz w:val="18"/>
                <w:szCs w:val="18"/>
              </w:rPr>
            </w:pPr>
            <w:r>
              <w:rPr>
                <w:rFonts w:hint="eastAsia" w:ascii="宋体" w:hAnsi="宋体" w:eastAsia="宋体" w:cs="宋体"/>
              </w:rPr>
              <w:t>zdq0205</w:t>
            </w:r>
          </w:p>
        </w:tc>
        <w:tc>
          <w:tcPr>
            <w:tcW w:w="1080" w:type="dxa"/>
            <w:tcBorders>
              <w:top w:val="nil"/>
              <w:left w:val="nil"/>
              <w:bottom w:val="single" w:color="000000" w:sz="8" w:space="0"/>
              <w:right w:val="single" w:color="000000" w:sz="8" w:space="0"/>
            </w:tcBorders>
            <w:shd w:val="clear" w:color="auto" w:fill="FFFFFF"/>
            <w:vAlign w:val="center"/>
          </w:tcPr>
          <w:p>
            <w:pPr>
              <w:autoSpaceDE w:val="0"/>
              <w:autoSpaceDN w:val="0"/>
              <w:spacing w:line="240"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单片机原理及应用2</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86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专业核心</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FF0000"/>
                <w:sz w:val="18"/>
                <w:szCs w:val="18"/>
              </w:rPr>
            </w:pPr>
            <w:r>
              <w:rPr>
                <w:rFonts w:hint="eastAsia"/>
                <w:sz w:val="18"/>
                <w:szCs w:val="18"/>
              </w:rPr>
              <w:t>zdq0307</w:t>
            </w:r>
          </w:p>
        </w:tc>
        <w:tc>
          <w:tcPr>
            <w:tcW w:w="1080" w:type="dxa"/>
            <w:tcBorders>
              <w:top w:val="nil"/>
              <w:left w:val="nil"/>
              <w:bottom w:val="single" w:color="000000" w:sz="8" w:space="0"/>
              <w:right w:val="single" w:color="000000" w:sz="8" w:space="0"/>
            </w:tcBorders>
            <w:shd w:val="clear" w:color="auto" w:fill="FFFFFF"/>
            <w:vAlign w:val="center"/>
          </w:tcPr>
          <w:p>
            <w:pPr>
              <w:autoSpaceDE w:val="0"/>
              <w:autoSpaceDN w:val="0"/>
              <w:spacing w:line="240"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工厂供配电技术</w:t>
            </w: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left"/>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9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合计</w:t>
            </w: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left"/>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540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252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288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实习实训</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trHeight w:val="300"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第五学期（16+4周）</w:t>
            </w:r>
          </w:p>
        </w:tc>
        <w:tc>
          <w:tcPr>
            <w:tcW w:w="1080" w:type="dxa"/>
            <w:tcBorders>
              <w:top w:val="nil"/>
              <w:left w:val="nil"/>
              <w:bottom w:val="single" w:color="000000" w:sz="8" w:space="0"/>
              <w:right w:val="single" w:color="000000" w:sz="8" w:space="0"/>
            </w:tcBorders>
            <w:shd w:val="clear" w:color="auto" w:fill="auto"/>
            <w:vAlign w:val="center"/>
          </w:tcPr>
          <w:p>
            <w:pPr>
              <w:pStyle w:val="88"/>
              <w:spacing w:line="240" w:lineRule="auto"/>
              <w:jc w:val="center"/>
              <w:rPr>
                <w:color w:val="000000" w:themeColor="text1"/>
                <w:sz w:val="18"/>
                <w14:textFill>
                  <w14:solidFill>
                    <w14:schemeClr w14:val="tx1"/>
                  </w14:solidFill>
                </w14:textFill>
              </w:rPr>
            </w:pPr>
            <w:r>
              <w:rPr>
                <w:rFonts w:hint="eastAsia"/>
                <w:color w:val="000000" w:themeColor="text1"/>
                <w:sz w:val="18"/>
                <w:lang w:eastAsia="zh-CN"/>
                <w14:textFill>
                  <w14:solidFill>
                    <w14:schemeClr w14:val="tx1"/>
                  </w14:solidFill>
                </w14:textFill>
              </w:rPr>
              <w:t>g</w:t>
            </w:r>
            <w:r>
              <w:rPr>
                <w:rFonts w:hint="eastAsia"/>
                <w:color w:val="000000" w:themeColor="text1"/>
                <w:sz w:val="18"/>
                <w14:textFill>
                  <w14:solidFill>
                    <w14:schemeClr w14:val="tx1"/>
                  </w14:solidFill>
                </w14:textFill>
              </w:rPr>
              <w:t>jc</w:t>
            </w:r>
          </w:p>
          <w:p>
            <w:pPr>
              <w:pStyle w:val="88"/>
              <w:spacing w:line="240" w:lineRule="auto"/>
              <w:jc w:val="center"/>
              <w:rPr>
                <w:rFonts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14:textFill>
                  <w14:solidFill>
                    <w14:schemeClr w14:val="tx1"/>
                  </w14:solidFill>
                </w14:textFill>
              </w:rPr>
              <w:t>0103</w:t>
            </w:r>
          </w:p>
        </w:tc>
        <w:tc>
          <w:tcPr>
            <w:tcW w:w="1080" w:type="dxa"/>
            <w:tcBorders>
              <w:top w:val="nil"/>
              <w:left w:val="nil"/>
              <w:bottom w:val="single" w:color="000000" w:sz="8" w:space="0"/>
              <w:right w:val="single" w:color="000000" w:sz="8" w:space="0"/>
            </w:tcBorders>
            <w:shd w:val="clear" w:color="auto" w:fill="auto"/>
            <w:vAlign w:val="center"/>
          </w:tcPr>
          <w:p>
            <w:pPr>
              <w:pStyle w:val="88"/>
              <w:spacing w:line="240" w:lineRule="auto"/>
              <w:jc w:val="center"/>
              <w:rPr>
                <w:rFonts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14:textFill>
                  <w14:solidFill>
                    <w14:schemeClr w14:val="tx1"/>
                  </w14:solidFill>
                </w14:textFill>
              </w:rPr>
              <w:t xml:space="preserve">大学体育 </w:t>
            </w:r>
            <w:r>
              <w:rPr>
                <w:rFonts w:hint="eastAsia"/>
                <w:color w:val="000000" w:themeColor="text1"/>
                <w:sz w:val="18"/>
                <w:lang w:val="en-US" w:eastAsia="zh-CN"/>
                <w14:textFill>
                  <w14:solidFill>
                    <w14:schemeClr w14:val="tx1"/>
                  </w14:solidFill>
                </w14:textFill>
              </w:rPr>
              <w:t>与健康</w:t>
            </w:r>
          </w:p>
        </w:tc>
        <w:tc>
          <w:tcPr>
            <w:tcW w:w="1080" w:type="dxa"/>
            <w:vMerge w:val="restart"/>
            <w:tcBorders>
              <w:top w:val="single" w:color="000000" w:sz="8" w:space="0"/>
              <w:left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Cs w:val="21"/>
              </w:rPr>
            </w:pPr>
            <w:r>
              <w:rPr>
                <w:rFonts w:hint="eastAsia"/>
                <w:color w:val="000000" w:themeColor="text1"/>
                <w:sz w:val="18"/>
                <w:lang w:val="en-US"/>
                <w14:textFill>
                  <w14:solidFill>
                    <w14:schemeClr w14:val="tx1"/>
                  </w14:solidFill>
                </w14:textFill>
              </w:rPr>
              <w:t>必修</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36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30</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考试</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gjc0106</w:t>
            </w:r>
          </w:p>
        </w:tc>
        <w:tc>
          <w:tcPr>
            <w:tcW w:w="1080" w:type="dxa"/>
            <w:tcBorders>
              <w:top w:val="nil"/>
              <w:left w:val="nil"/>
              <w:bottom w:val="single" w:color="000000" w:sz="8" w:space="0"/>
              <w:right w:val="single" w:color="000000" w:sz="8" w:space="0"/>
            </w:tcBorders>
            <w:shd w:val="clear" w:color="auto" w:fill="auto"/>
            <w:vAlign w:val="center"/>
          </w:tcPr>
          <w:p>
            <w:pPr>
              <w:pStyle w:val="88"/>
              <w:spacing w:line="240" w:lineRule="auto"/>
              <w:jc w:val="center"/>
              <w:rPr>
                <w:rFonts w:ascii="宋体" w:hAnsi="宋体" w:eastAsia="宋体" w:cs="宋体"/>
                <w:color w:val="000000"/>
                <w:sz w:val="18"/>
                <w:szCs w:val="18"/>
              </w:rPr>
            </w:pPr>
            <w:r>
              <w:rPr>
                <w:rFonts w:hint="eastAsia" w:ascii="宋体" w:hAnsi="宋体" w:eastAsia="宋体" w:cs="宋体"/>
                <w:color w:val="000000" w:themeColor="text1"/>
                <w:kern w:val="0"/>
                <w:sz w:val="18"/>
                <w:szCs w:val="22"/>
                <w:lang w:val="en-US" w:eastAsia="zh-CN" w:bidi="ar-SA"/>
                <w14:textFill>
                  <w14:solidFill>
                    <w14:schemeClr w14:val="tx1"/>
                  </w14:solidFill>
                </w14:textFill>
              </w:rPr>
              <w:t>形势与政策</w:t>
            </w:r>
          </w:p>
        </w:tc>
        <w:tc>
          <w:tcPr>
            <w:tcW w:w="1080" w:type="dxa"/>
            <w:vMerge w:val="continue"/>
            <w:tcBorders>
              <w:left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0.25</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8</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8</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0</w:t>
            </w:r>
          </w:p>
        </w:tc>
        <w:tc>
          <w:tcPr>
            <w:tcW w:w="1080" w:type="dxa"/>
            <w:tcBorders>
              <w:top w:val="nil"/>
              <w:left w:val="nil"/>
              <w:bottom w:val="single" w:color="000000" w:sz="8" w:space="0"/>
              <w:right w:val="single" w:color="000000" w:sz="8" w:space="0"/>
            </w:tcBorders>
            <w:shd w:val="clear" w:color="auto" w:fill="auto"/>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2（4周）</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考查</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军事理论</w:t>
            </w:r>
          </w:p>
        </w:tc>
        <w:tc>
          <w:tcPr>
            <w:tcW w:w="1080" w:type="dxa"/>
            <w:vMerge w:val="continue"/>
            <w:tcBorders>
              <w:left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36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36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0</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考查</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gjc0108</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line="240" w:lineRule="auto"/>
              <w:jc w:val="center"/>
              <w:textAlignment w:val="bottom"/>
              <w:rPr>
                <w:rFonts w:ascii="宋体" w:hAnsi="宋体" w:eastAsia="宋体" w:cs="宋体"/>
                <w:color w:val="000000"/>
                <w:sz w:val="18"/>
                <w:szCs w:val="18"/>
              </w:rPr>
            </w:pPr>
            <w:r>
              <w:rPr>
                <w:rFonts w:hint="eastAsia" w:ascii="宋体" w:hAnsi="宋体" w:eastAsia="宋体" w:cs="宋体"/>
                <w:color w:val="000000" w:themeColor="text1"/>
                <w:kern w:val="0"/>
                <w:sz w:val="18"/>
                <w:szCs w:val="22"/>
                <w:lang w:val="en-US" w:eastAsia="zh-CN" w:bidi="ar-SA"/>
                <w14:textFill>
                  <w14:solidFill>
                    <w14:schemeClr w14:val="tx1"/>
                  </w14:solidFill>
                </w14:textFill>
              </w:rPr>
              <w:t>信息技术</w:t>
            </w:r>
          </w:p>
        </w:tc>
        <w:tc>
          <w:tcPr>
            <w:tcW w:w="1080" w:type="dxa"/>
            <w:vMerge w:val="continue"/>
            <w:tcBorders>
              <w:left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4</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72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60</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12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4</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考查</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rPr>
              <w:t>gjc0113</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rPr>
              <w:t>大学语文</w:t>
            </w:r>
          </w:p>
        </w:tc>
        <w:tc>
          <w:tcPr>
            <w:tcW w:w="1080" w:type="dxa"/>
            <w:vMerge w:val="continue"/>
            <w:tcBorders>
              <w:left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kern w:val="2"/>
                <w:sz w:val="21"/>
                <w:szCs w:val="21"/>
                <w:lang w:val="en-US" w:eastAsia="zh-CN" w:bidi="ar-SA"/>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2"/>
                <w:sz w:val="18"/>
                <w:szCs w:val="18"/>
                <w:lang w:val="en-US" w:eastAsia="zh-CN" w:bidi="ar-SA"/>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pStyle w:val="88"/>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spacing w:line="240" w:lineRule="auto"/>
              <w:jc w:val="center"/>
              <w:textAlignment w:val="bottom"/>
              <w:rPr>
                <w:rFonts w:ascii="宋体" w:hAnsi="宋体" w:eastAsia="宋体" w:cs="宋体"/>
                <w:color w:val="000000"/>
                <w:sz w:val="18"/>
                <w:szCs w:val="18"/>
              </w:rPr>
            </w:pPr>
            <w:r>
              <w:rPr>
                <w:rFonts w:hint="eastAsia" w:ascii="宋体" w:hAnsi="宋体" w:eastAsia="宋体" w:cs="宋体"/>
                <w:color w:val="000000" w:themeColor="text1"/>
                <w:kern w:val="0"/>
                <w:sz w:val="18"/>
                <w:szCs w:val="22"/>
                <w:lang w:val="en-US" w:eastAsia="zh-CN" w:bidi="ar-SA"/>
                <w14:textFill>
                  <w14:solidFill>
                    <w14:schemeClr w14:val="tx1"/>
                  </w14:solidFill>
                </w14:textFill>
              </w:rPr>
              <w:t>大学生安全教育</w:t>
            </w:r>
          </w:p>
        </w:tc>
        <w:tc>
          <w:tcPr>
            <w:tcW w:w="1080" w:type="dxa"/>
            <w:vMerge w:val="continue"/>
            <w:tcBorders>
              <w:left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bottom"/>
          </w:tcPr>
          <w:p>
            <w:pPr>
              <w:keepNext w:val="0"/>
              <w:keepLines w:val="0"/>
              <w:widowControl/>
              <w:suppressLineNumbers w:val="0"/>
              <w:spacing w:line="240" w:lineRule="auto"/>
              <w:jc w:val="center"/>
              <w:textAlignment w:val="bottom"/>
              <w:rPr>
                <w:rFonts w:ascii="宋体" w:hAnsi="宋体" w:eastAsia="宋体" w:cs="宋体"/>
                <w:color w:val="000000"/>
                <w:sz w:val="18"/>
                <w:szCs w:val="18"/>
              </w:rPr>
            </w:pPr>
            <w:r>
              <w:rPr>
                <w:rFonts w:hint="eastAsia" w:ascii="宋体" w:hAnsi="宋体" w:eastAsia="宋体" w:cs="宋体"/>
                <w:i w:val="0"/>
                <w:iCs w:val="0"/>
                <w:color w:val="000000"/>
                <w:kern w:val="0"/>
                <w:sz w:val="21"/>
                <w:szCs w:val="21"/>
                <w:u w:val="none"/>
                <w:lang w:val="en-US" w:eastAsia="zh-CN" w:bidi="ar"/>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36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36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0</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考查</w:t>
            </w:r>
          </w:p>
        </w:tc>
      </w:tr>
      <w:tr>
        <w:tblPrEx>
          <w:tblCellMar>
            <w:top w:w="0" w:type="dxa"/>
            <w:left w:w="108" w:type="dxa"/>
            <w:bottom w:w="0" w:type="dxa"/>
            <w:right w:w="108" w:type="dxa"/>
          </w:tblCellMar>
        </w:tblPrEx>
        <w:trPr>
          <w:trHeight w:val="28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gjc0111</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高等数学</w:t>
            </w:r>
          </w:p>
        </w:tc>
        <w:tc>
          <w:tcPr>
            <w:tcW w:w="1080" w:type="dxa"/>
            <w:vMerge w:val="continue"/>
            <w:tcBorders>
              <w:left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32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32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28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gjc0112</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大学英语</w:t>
            </w:r>
          </w:p>
        </w:tc>
        <w:tc>
          <w:tcPr>
            <w:tcW w:w="1080" w:type="dxa"/>
            <w:vMerge w:val="continue"/>
            <w:tcBorders>
              <w:left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rPr>
              <w:t>3</w:t>
            </w:r>
            <w:r>
              <w:rPr>
                <w:rFonts w:hint="eastAsia" w:ascii="宋体" w:hAnsi="宋体" w:eastAsia="宋体" w:cs="宋体"/>
                <w:color w:val="000000"/>
                <w:kern w:val="0"/>
                <w:sz w:val="18"/>
                <w:szCs w:val="18"/>
                <w:lang w:val="en-US" w:eastAsia="zh-CN"/>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32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69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color w:val="000000" w:themeColor="text1"/>
                <w:sz w:val="18"/>
                <w14:textFill>
                  <w14:solidFill>
                    <w14:schemeClr w14:val="tx1"/>
                  </w14:solidFill>
                </w14:textFill>
              </w:rPr>
            </w:pPr>
            <w:r>
              <w:rPr>
                <w:rFonts w:hint="eastAsia"/>
                <w:color w:val="000000" w:themeColor="text1"/>
                <w:sz w:val="18"/>
                <w:lang w:eastAsia="zh-CN"/>
                <w14:textFill>
                  <w14:solidFill>
                    <w14:schemeClr w14:val="tx1"/>
                  </w14:solidFill>
                </w14:textFill>
              </w:rPr>
              <w:t>g</w:t>
            </w:r>
            <w:r>
              <w:rPr>
                <w:rFonts w:hint="eastAsia"/>
                <w:color w:val="000000" w:themeColor="text1"/>
                <w:sz w:val="18"/>
                <w14:textFill>
                  <w14:solidFill>
                    <w14:schemeClr w14:val="tx1"/>
                  </w14:solidFill>
                </w14:textFill>
              </w:rPr>
              <w:t>jc</w:t>
            </w:r>
          </w:p>
          <w:p>
            <w:pPr>
              <w:pStyle w:val="88"/>
              <w:spacing w:line="240" w:lineRule="auto"/>
              <w:jc w:val="center"/>
              <w:rPr>
                <w:rFonts w:ascii="宋体" w:hAnsi="宋体" w:eastAsia="宋体" w:cs="宋体"/>
                <w:color w:val="000000"/>
                <w:sz w:val="18"/>
                <w:szCs w:val="18"/>
              </w:rPr>
            </w:pPr>
            <w:r>
              <w:rPr>
                <w:rFonts w:hint="eastAsia"/>
                <w:color w:val="000000" w:themeColor="text1"/>
                <w:sz w:val="18"/>
                <w14:textFill>
                  <w14:solidFill>
                    <w14:schemeClr w14:val="tx1"/>
                  </w14:solidFill>
                </w14:textFill>
              </w:rPr>
              <w:t>0105</w:t>
            </w:r>
          </w:p>
        </w:tc>
        <w:tc>
          <w:tcPr>
            <w:tcW w:w="1080" w:type="dxa"/>
            <w:tcBorders>
              <w:top w:val="nil"/>
              <w:left w:val="nil"/>
              <w:bottom w:val="single" w:color="000000" w:sz="8" w:space="0"/>
              <w:right w:val="single" w:color="000000" w:sz="8" w:space="0"/>
            </w:tcBorders>
            <w:shd w:val="clear" w:color="auto" w:fill="auto"/>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eastAsia="zh-CN"/>
                <w14:textFill>
                  <w14:solidFill>
                    <w14:schemeClr w14:val="tx1"/>
                  </w14:solidFill>
                </w14:textFill>
              </w:rPr>
              <w:t>思想道德与</w:t>
            </w:r>
            <w:r>
              <w:rPr>
                <w:rFonts w:hint="eastAsia"/>
                <w:color w:val="000000" w:themeColor="text1"/>
                <w:sz w:val="18"/>
                <w:lang w:val="en-US" w:eastAsia="zh-CN"/>
                <w14:textFill>
                  <w14:solidFill>
                    <w14:schemeClr w14:val="tx1"/>
                  </w14:solidFill>
                </w14:textFill>
              </w:rPr>
              <w:t>法治</w:t>
            </w:r>
          </w:p>
        </w:tc>
        <w:tc>
          <w:tcPr>
            <w:tcW w:w="1080" w:type="dxa"/>
            <w:vMerge w:val="continue"/>
            <w:tcBorders>
              <w:left w:val="single" w:color="000000" w:sz="8" w:space="0"/>
              <w:bottom w:val="single" w:color="auto" w:sz="4"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14:textFill>
                  <w14:solidFill>
                    <w14:schemeClr w14:val="tx1"/>
                  </w14:solidFill>
                </w14:textFill>
              </w:rPr>
              <w:t>3</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14:textFill>
                  <w14:solidFill>
                    <w14:schemeClr w14:val="tx1"/>
                  </w14:solidFill>
                </w14:textFill>
              </w:rPr>
              <w:t>48</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32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16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14:textFill>
                  <w14:solidFill>
                    <w14:schemeClr w14:val="tx1"/>
                  </w14:solidFill>
                </w14:textFill>
              </w:rPr>
              <w:t>3</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lang w:val="en-US"/>
                <w14:textFill>
                  <w14:solidFill>
                    <w14:schemeClr w14:val="tx1"/>
                  </w14:solidFill>
                </w14:textFill>
              </w:rPr>
              <w:t>考试</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kern w:val="0"/>
                <w:sz w:val="18"/>
                <w:szCs w:val="18"/>
              </w:rPr>
            </w:pP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themeColor="text1"/>
                <w:kern w:val="0"/>
                <w:sz w:val="18"/>
                <w:szCs w:val="18"/>
                <w:lang w:val="en-US" w:eastAsia="zh-CN"/>
                <w14:textFill>
                  <w14:solidFill>
                    <w14:schemeClr w14:val="tx1"/>
                  </w14:solidFill>
                </w14:textFill>
              </w:rPr>
            </w:pPr>
            <w:r>
              <w:rPr>
                <w:rFonts w:hint="eastAsia" w:ascii="宋体" w:hAnsi="宋体" w:eastAsia="宋体" w:cs="宋体"/>
                <w:color w:val="000000" w:themeColor="text1"/>
                <w:kern w:val="0"/>
                <w:sz w:val="18"/>
                <w:szCs w:val="18"/>
                <w:lang w:val="en-US" w:eastAsia="zh-CN"/>
                <w14:textFill>
                  <w14:solidFill>
                    <w14:schemeClr w14:val="tx1"/>
                  </w14:solidFill>
                </w14:textFill>
              </w:rPr>
              <w:t>大学美育</w:t>
            </w:r>
          </w:p>
        </w:tc>
        <w:tc>
          <w:tcPr>
            <w:tcW w:w="1080" w:type="dxa"/>
            <w:tcBorders>
              <w:top w:val="single" w:color="auto" w:sz="4" w:space="0"/>
              <w:left w:val="single" w:color="000000" w:sz="8" w:space="0"/>
              <w:bottom w:val="single" w:color="auto" w:sz="4" w:space="0"/>
              <w:right w:val="single" w:color="000000" w:sz="8" w:space="0"/>
            </w:tcBorders>
            <w:shd w:val="clear" w:color="auto" w:fill="auto"/>
            <w:vAlign w:val="center"/>
          </w:tcPr>
          <w:p>
            <w:pPr>
              <w:spacing w:line="240" w:lineRule="auto"/>
              <w:jc w:val="left"/>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选修</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32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FF0000"/>
                <w:sz w:val="18"/>
                <w:szCs w:val="18"/>
              </w:rPr>
            </w:pPr>
            <w:r>
              <w:rPr>
                <w:rFonts w:ascii="宋体" w:hAnsi="宋体" w:eastAsia="宋体" w:cs="宋体"/>
                <w:color w:val="000000"/>
                <w:kern w:val="0"/>
                <w:sz w:val="18"/>
                <w:szCs w:val="18"/>
              </w:rPr>
              <w:t>G</w:t>
            </w:r>
            <w:r>
              <w:rPr>
                <w:rFonts w:hint="eastAsia" w:ascii="宋体" w:hAnsi="宋体" w:eastAsia="宋体" w:cs="宋体"/>
                <w:color w:val="000000"/>
                <w:kern w:val="0"/>
                <w:sz w:val="18"/>
                <w:szCs w:val="18"/>
              </w:rPr>
              <w:t>jq0201</w:t>
            </w:r>
          </w:p>
        </w:tc>
        <w:tc>
          <w:tcPr>
            <w:tcW w:w="1080" w:type="dxa"/>
            <w:tcBorders>
              <w:top w:val="single" w:color="auto" w:sz="4"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电路基础</w:t>
            </w:r>
          </w:p>
        </w:tc>
        <w:tc>
          <w:tcPr>
            <w:tcW w:w="1080" w:type="dxa"/>
            <w:vMerge w:val="restart"/>
            <w:tcBorders>
              <w:top w:val="single" w:color="auto" w:sz="4" w:space="0"/>
              <w:left w:val="single" w:color="000000" w:sz="8" w:space="0"/>
              <w:right w:val="single" w:color="000000" w:sz="8" w:space="0"/>
            </w:tcBorders>
            <w:shd w:val="clear" w:color="auto" w:fill="auto"/>
            <w:vAlign w:val="center"/>
          </w:tcPr>
          <w:p>
            <w:pPr>
              <w:spacing w:line="240" w:lineRule="auto"/>
              <w:jc w:val="left"/>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FF0000"/>
                <w:sz w:val="18"/>
                <w:szCs w:val="18"/>
              </w:rPr>
            </w:pPr>
            <w:r>
              <w:rPr>
                <w:rFonts w:hint="eastAsia" w:ascii="宋体" w:hAnsi="宋体" w:eastAsia="宋体" w:cs="宋体"/>
                <w:color w:val="000000"/>
                <w:kern w:val="0"/>
                <w:sz w:val="18"/>
                <w:szCs w:val="18"/>
              </w:rPr>
              <w:t>gjq0202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cs="宋体"/>
                <w:color w:val="000000" w:themeColor="text1"/>
                <w:kern w:val="0"/>
                <w:sz w:val="18"/>
                <w:szCs w:val="22"/>
                <w:lang w:val="zh-CN"/>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C语言程序设计</w:t>
            </w:r>
          </w:p>
        </w:tc>
        <w:tc>
          <w:tcPr>
            <w:tcW w:w="1080" w:type="dxa"/>
            <w:vMerge w:val="continue"/>
            <w:tcBorders>
              <w:left w:val="single" w:color="000000" w:sz="8" w:space="0"/>
              <w:right w:val="single" w:color="000000" w:sz="8" w:space="0"/>
            </w:tcBorders>
            <w:shd w:val="clear" w:color="auto" w:fill="auto"/>
            <w:vAlign w:val="center"/>
          </w:tcPr>
          <w:p>
            <w:pPr>
              <w:spacing w:line="240" w:lineRule="auto"/>
              <w:jc w:val="left"/>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96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86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专业核心</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gjq0205</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themeColor="text1"/>
                <w:kern w:val="0"/>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电气cad</w:t>
            </w:r>
          </w:p>
        </w:tc>
        <w:tc>
          <w:tcPr>
            <w:tcW w:w="1080" w:type="dxa"/>
            <w:vMerge w:val="continue"/>
            <w:tcBorders>
              <w:left w:val="single" w:color="000000" w:sz="8" w:space="0"/>
              <w:right w:val="single" w:color="000000" w:sz="8" w:space="0"/>
            </w:tcBorders>
            <w:shd w:val="clear" w:color="auto" w:fill="auto"/>
            <w:vAlign w:val="center"/>
          </w:tcPr>
          <w:p>
            <w:pPr>
              <w:spacing w:line="240" w:lineRule="auto"/>
              <w:jc w:val="left"/>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e</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FF0000"/>
                <w:sz w:val="18"/>
                <w:szCs w:val="18"/>
              </w:rPr>
            </w:pPr>
            <w:r>
              <w:rPr>
                <w:rFonts w:hint="eastAsia" w:ascii="宋体" w:hAnsi="宋体" w:eastAsia="宋体" w:cs="宋体"/>
                <w:color w:val="000000"/>
                <w:kern w:val="0"/>
                <w:sz w:val="18"/>
                <w:szCs w:val="18"/>
              </w:rPr>
              <w:t>gdq0305</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themeColor="text1"/>
                <w:kern w:val="0"/>
                <w:sz w:val="18"/>
                <w:szCs w:val="22"/>
                <w:lang w:val="en-US" w:eastAsia="zh-CN"/>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电气设备控制与维</w:t>
            </w:r>
            <w:r>
              <w:rPr>
                <w:rFonts w:hint="eastAsia" w:ascii="宋体" w:hAnsi="宋体" w:eastAsia="宋体" w:cs="宋体"/>
                <w:color w:val="000000" w:themeColor="text1"/>
                <w:kern w:val="0"/>
                <w:sz w:val="18"/>
                <w:szCs w:val="18"/>
                <w:lang w:val="en-US" w:eastAsia="zh-CN"/>
                <w14:textFill>
                  <w14:solidFill>
                    <w14:schemeClr w14:val="tx1"/>
                  </w14:solidFill>
                </w14:textFill>
              </w:rPr>
              <w:t>修</w:t>
            </w:r>
          </w:p>
        </w:tc>
        <w:tc>
          <w:tcPr>
            <w:tcW w:w="1080" w:type="dxa"/>
            <w:vMerge w:val="continue"/>
            <w:tcBorders>
              <w:left w:val="single" w:color="000000" w:sz="8" w:space="0"/>
              <w:bottom w:val="single" w:color="000000" w:sz="8" w:space="0"/>
              <w:right w:val="single" w:color="000000" w:sz="8" w:space="0"/>
            </w:tcBorders>
            <w:shd w:val="clear" w:color="auto" w:fill="auto"/>
            <w:vAlign w:val="center"/>
          </w:tcPr>
          <w:p>
            <w:pPr>
              <w:spacing w:line="240" w:lineRule="auto"/>
              <w:jc w:val="left"/>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金工实习</w:t>
            </w:r>
          </w:p>
        </w:tc>
        <w:tc>
          <w:tcPr>
            <w:tcW w:w="1080" w:type="dxa"/>
            <w:tcBorders>
              <w:top w:val="nil"/>
              <w:left w:val="nil"/>
              <w:bottom w:val="single" w:color="000000" w:sz="8" w:space="0"/>
              <w:right w:val="single" w:color="000000" w:sz="8" w:space="0"/>
            </w:tcBorders>
            <w:shd w:val="clear" w:color="auto" w:fill="auto"/>
            <w:vAlign w:val="center"/>
          </w:tcPr>
          <w:p>
            <w:pPr>
              <w:spacing w:line="240" w:lineRule="auto"/>
              <w:jc w:val="left"/>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专业实训</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trHeight w:val="28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合计</w:t>
            </w: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37.25</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652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324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328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41</w:t>
            </w: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等线" w:hAnsi="等线" w:eastAsia="等线" w:cs="等线"/>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等线" w:hAnsi="等线" w:eastAsia="等线" w:cs="等线"/>
                <w:color w:val="000000"/>
                <w:sz w:val="18"/>
                <w:szCs w:val="18"/>
              </w:rPr>
            </w:pPr>
          </w:p>
        </w:tc>
      </w:tr>
      <w:tr>
        <w:tblPrEx>
          <w:tblCellMar>
            <w:top w:w="0" w:type="dxa"/>
            <w:left w:w="108" w:type="dxa"/>
            <w:bottom w:w="0" w:type="dxa"/>
            <w:right w:w="108" w:type="dxa"/>
          </w:tblCellMar>
        </w:tblPrEx>
        <w:trPr>
          <w:trHeight w:val="285" w:hRule="atLeast"/>
        </w:trPr>
        <w:tc>
          <w:tcPr>
            <w:tcW w:w="10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第六学期（18+2周）</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gjc0112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大学英语</w:t>
            </w:r>
          </w:p>
        </w:tc>
        <w:tc>
          <w:tcPr>
            <w:tcW w:w="1080" w:type="dxa"/>
            <w:vMerge w:val="restart"/>
            <w:tcBorders>
              <w:top w:val="single" w:color="000000" w:sz="8" w:space="0"/>
              <w:left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ascii="宋体" w:hAnsi="宋体" w:eastAsia="宋体" w:cs="宋体"/>
                <w:color w:val="000000" w:themeColor="text1"/>
                <w:kern w:val="0"/>
                <w:sz w:val="18"/>
                <w:szCs w:val="22"/>
                <w:lang w:val="en-US" w:eastAsia="zh-CN" w:bidi="ar-SA"/>
                <w14:textFill>
                  <w14:solidFill>
                    <w14:schemeClr w14:val="tx1"/>
                  </w14:solidFill>
                </w14:textFill>
              </w:rPr>
              <w:t>必修</w:t>
            </w: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center"/>
              <w:textAlignment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p>
            <w:pPr>
              <w:widowControl/>
              <w:spacing w:line="240" w:lineRule="auto"/>
              <w:jc w:val="both"/>
              <w:textAlignment w:val="center"/>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rPr>
              <w:t>3</w:t>
            </w:r>
            <w:r>
              <w:rPr>
                <w:rFonts w:hint="eastAsia" w:ascii="宋体" w:hAnsi="宋体" w:eastAsia="宋体" w:cs="宋体"/>
                <w:color w:val="000000"/>
                <w:kern w:val="0"/>
                <w:sz w:val="18"/>
                <w:szCs w:val="18"/>
                <w:lang w:val="en-US" w:eastAsia="zh-CN"/>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rPr>
              <w:t>3</w:t>
            </w:r>
            <w:r>
              <w:rPr>
                <w:rFonts w:hint="eastAsia" w:ascii="宋体" w:hAnsi="宋体" w:eastAsia="宋体" w:cs="宋体"/>
                <w:color w:val="000000"/>
                <w:kern w:val="0"/>
                <w:sz w:val="18"/>
                <w:szCs w:val="18"/>
                <w:lang w:val="en-US" w:eastAsia="zh-CN"/>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28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gjc0111</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高等数学</w:t>
            </w:r>
          </w:p>
        </w:tc>
        <w:tc>
          <w:tcPr>
            <w:tcW w:w="1080" w:type="dxa"/>
            <w:vMerge w:val="continue"/>
            <w:tcBorders>
              <w:left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rPr>
              <w:t>3</w:t>
            </w:r>
            <w:r>
              <w:rPr>
                <w:rFonts w:hint="eastAsia" w:ascii="宋体" w:hAnsi="宋体" w:eastAsia="宋体" w:cs="宋体"/>
                <w:color w:val="000000"/>
                <w:kern w:val="0"/>
                <w:sz w:val="18"/>
                <w:szCs w:val="18"/>
                <w:lang w:val="en-US" w:eastAsia="zh-CN"/>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rPr>
              <w:t>3</w:t>
            </w:r>
            <w:r>
              <w:rPr>
                <w:rFonts w:hint="eastAsia" w:ascii="宋体" w:hAnsi="宋体" w:eastAsia="宋体" w:cs="宋体"/>
                <w:color w:val="000000"/>
                <w:kern w:val="0"/>
                <w:sz w:val="18"/>
                <w:szCs w:val="18"/>
                <w:lang w:val="en-US" w:eastAsia="zh-CN"/>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gjc0103</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14:textFill>
                  <w14:solidFill>
                    <w14:schemeClr w14:val="tx1"/>
                  </w14:solidFill>
                </w14:textFill>
              </w:rPr>
              <w:t>大学体育</w:t>
            </w:r>
            <w:r>
              <w:rPr>
                <w:rFonts w:hint="eastAsia"/>
                <w:color w:val="000000" w:themeColor="text1"/>
                <w:sz w:val="18"/>
                <w:lang w:val="en-US" w:eastAsia="zh-CN"/>
                <w14:textFill>
                  <w14:solidFill>
                    <w14:schemeClr w14:val="tx1"/>
                  </w14:solidFill>
                </w14:textFill>
              </w:rPr>
              <w:t>与健康</w:t>
            </w:r>
            <w:r>
              <w:rPr>
                <w:rFonts w:hint="eastAsia"/>
                <w:color w:val="000000" w:themeColor="text1"/>
                <w:sz w:val="18"/>
                <w14:textFill>
                  <w14:solidFill>
                    <w14:schemeClr w14:val="tx1"/>
                  </w14:solidFill>
                </w14:textFill>
              </w:rPr>
              <w:t xml:space="preserve"> </w:t>
            </w:r>
          </w:p>
        </w:tc>
        <w:tc>
          <w:tcPr>
            <w:tcW w:w="1080" w:type="dxa"/>
            <w:vMerge w:val="continue"/>
            <w:tcBorders>
              <w:left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zh-CN" w:eastAsia="zh-CN" w:bidi="ar-SA"/>
                <w14:textFill>
                  <w14:solidFill>
                    <w14:schemeClr w14:val="tx1"/>
                  </w14:solidFill>
                </w14:textFill>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36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3</w:t>
            </w:r>
            <w:r>
              <w:rPr>
                <w:rFonts w:hint="eastAsia"/>
                <w:color w:val="000000" w:themeColor="text1"/>
                <w:sz w:val="18"/>
                <w:lang w:val="en-US" w:eastAsia="zh-CN"/>
                <w14:textFill>
                  <w14:solidFill>
                    <w14:schemeClr w14:val="tx1"/>
                  </w14:solidFill>
                </w14:textFill>
              </w:rPr>
              <w:t>0</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考试</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pStyle w:val="88"/>
              <w:spacing w:line="240" w:lineRule="auto"/>
              <w:jc w:val="center"/>
              <w:rPr>
                <w:rFonts w:hint="eastAsia" w:ascii="宋体" w:hAnsi="宋体" w:eastAsia="宋体" w:cs="宋体"/>
                <w:color w:val="000000" w:themeColor="text1"/>
                <w:kern w:val="0"/>
                <w:sz w:val="18"/>
                <w:szCs w:val="22"/>
                <w:lang w:val="zh-CN" w:eastAsia="zh-CN" w:bidi="ar-SA"/>
                <w14:textFill>
                  <w14:solidFill>
                    <w14:schemeClr w14:val="tx1"/>
                  </w14:solidFill>
                </w14:textFill>
              </w:rPr>
            </w:pPr>
            <w:r>
              <w:rPr>
                <w:rFonts w:hint="eastAsia" w:ascii="宋体" w:hAnsi="宋体" w:eastAsia="宋体" w:cs="宋体"/>
                <w:color w:val="000000" w:themeColor="text1"/>
                <w:kern w:val="0"/>
                <w:sz w:val="18"/>
                <w:szCs w:val="22"/>
                <w:lang w:val="en-US" w:eastAsia="zh-CN" w:bidi="ar-SA"/>
                <w14:textFill>
                  <w14:solidFill>
                    <w14:schemeClr w14:val="tx1"/>
                  </w14:solidFill>
                </w14:textFill>
              </w:rPr>
              <w:t>劳动教育</w:t>
            </w:r>
          </w:p>
        </w:tc>
        <w:tc>
          <w:tcPr>
            <w:tcW w:w="1080" w:type="dxa"/>
            <w:vMerge w:val="continue"/>
            <w:tcBorders>
              <w:left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zh-CN" w:eastAsia="zh-CN" w:bidi="ar-SA"/>
                <w14:textFill>
                  <w14:solidFill>
                    <w14:schemeClr w14:val="tx1"/>
                  </w14:solidFill>
                </w14:textFill>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1</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16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16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 xml:space="preserve">0 </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1</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考试</w:t>
            </w:r>
          </w:p>
        </w:tc>
      </w:tr>
      <w:tr>
        <w:tblPrEx>
          <w:tblCellMar>
            <w:top w:w="0" w:type="dxa"/>
            <w:left w:w="108" w:type="dxa"/>
            <w:bottom w:w="0" w:type="dxa"/>
            <w:right w:w="108" w:type="dxa"/>
          </w:tblCellMar>
        </w:tblPrEx>
        <w:trPr>
          <w:trHeight w:val="1639"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color w:val="000000" w:themeColor="text1"/>
                <w:sz w:val="18"/>
                <w14:textFill>
                  <w14:solidFill>
                    <w14:schemeClr w14:val="tx1"/>
                  </w14:solidFill>
                </w14:textFill>
              </w:rPr>
            </w:pPr>
            <w:r>
              <w:rPr>
                <w:rFonts w:hint="eastAsia"/>
                <w:color w:val="000000" w:themeColor="text1"/>
                <w:sz w:val="18"/>
                <w:lang w:eastAsia="zh-CN"/>
                <w14:textFill>
                  <w14:solidFill>
                    <w14:schemeClr w14:val="tx1"/>
                  </w14:solidFill>
                </w14:textFill>
              </w:rPr>
              <w:t>g</w:t>
            </w:r>
            <w:r>
              <w:rPr>
                <w:rFonts w:hint="eastAsia"/>
                <w:color w:val="000000" w:themeColor="text1"/>
                <w:sz w:val="18"/>
                <w14:textFill>
                  <w14:solidFill>
                    <w14:schemeClr w14:val="tx1"/>
                  </w14:solidFill>
                </w14:textFill>
              </w:rPr>
              <w:t>jc</w:t>
            </w:r>
          </w:p>
          <w:p>
            <w:pPr>
              <w:pStyle w:val="88"/>
              <w:spacing w:line="240" w:lineRule="auto"/>
              <w:jc w:val="center"/>
              <w:rPr>
                <w:rFonts w:hint="eastAsia"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14:textFill>
                  <w14:solidFill>
                    <w14:schemeClr w14:val="tx1"/>
                  </w14:solidFill>
                </w14:textFill>
              </w:rPr>
              <w:t>0110</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eastAsia="zh-CN"/>
                <w14:textFill>
                  <w14:solidFill>
                    <w14:schemeClr w14:val="tx1"/>
                  </w14:solidFill>
                </w14:textFill>
              </w:rPr>
              <w:t>大学生职业发展与就业指导</w:t>
            </w:r>
          </w:p>
        </w:tc>
        <w:tc>
          <w:tcPr>
            <w:tcW w:w="1080" w:type="dxa"/>
            <w:vMerge w:val="continue"/>
            <w:tcBorders>
              <w:left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zh-CN" w:eastAsia="zh-CN" w:bidi="ar-SA"/>
                <w14:textFill>
                  <w14:solidFill>
                    <w14:schemeClr w14:val="tx1"/>
                  </w14:solidFill>
                </w14:textFill>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3</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48</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32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16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3</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考查</w:t>
            </w:r>
          </w:p>
        </w:tc>
      </w:tr>
      <w:tr>
        <w:tblPrEx>
          <w:tblCellMar>
            <w:top w:w="0" w:type="dxa"/>
            <w:left w:w="108" w:type="dxa"/>
            <w:bottom w:w="0" w:type="dxa"/>
            <w:right w:w="108" w:type="dxa"/>
          </w:tblCellMar>
        </w:tblPrEx>
        <w:trPr>
          <w:trHeight w:val="1361" w:hRule="exac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color w:val="000000" w:themeColor="text1"/>
                <w:sz w:val="18"/>
                <w:lang w:eastAsia="zh-CN"/>
                <w14:textFill>
                  <w14:solidFill>
                    <w14:schemeClr w14:val="tx1"/>
                  </w14:solidFill>
                </w14:textFill>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大学生创新创业基础</w:t>
            </w:r>
          </w:p>
        </w:tc>
        <w:tc>
          <w:tcPr>
            <w:tcW w:w="1080" w:type="dxa"/>
            <w:vMerge w:val="continue"/>
            <w:tcBorders>
              <w:left w:val="single" w:color="000000" w:sz="8" w:space="0"/>
              <w:bottom w:val="single" w:color="auto" w:sz="4" w:space="0"/>
              <w:right w:val="single" w:color="000000" w:sz="8" w:space="0"/>
            </w:tcBorders>
            <w:shd w:val="clear" w:color="auto" w:fill="FFFFFF"/>
            <w:vAlign w:val="center"/>
          </w:tcPr>
          <w:p>
            <w:pPr>
              <w:pStyle w:val="88"/>
              <w:spacing w:line="240" w:lineRule="auto"/>
              <w:jc w:val="center"/>
              <w:rPr>
                <w:rFonts w:hint="eastAsia"/>
                <w:color w:val="000000" w:themeColor="text1"/>
                <w:sz w:val="18"/>
                <w:lang w:val="zh-CN" w:eastAsia="zh-CN"/>
                <w14:textFill>
                  <w14:solidFill>
                    <w14:schemeClr w14:val="tx1"/>
                  </w14:solidFill>
                </w14:textFill>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32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16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16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color w:val="000000" w:themeColor="text1"/>
                <w:sz w:val="18"/>
                <w:lang w:val="zh-CN" w:eastAsia="zh-CN"/>
                <w14:textFill>
                  <w14:solidFill>
                    <w14:schemeClr w14:val="tx1"/>
                  </w14:solidFill>
                </w14:textFill>
              </w:rPr>
            </w:pPr>
            <w:r>
              <w:rPr>
                <w:rFonts w:hint="eastAsia"/>
                <w:color w:val="000000" w:themeColor="text1"/>
                <w:sz w:val="18"/>
                <w:lang w:eastAsia="zh-CN"/>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考查</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gjc0114</w:t>
            </w:r>
          </w:p>
        </w:tc>
        <w:tc>
          <w:tcPr>
            <w:tcW w:w="1080" w:type="dxa"/>
            <w:tcBorders>
              <w:top w:val="nil"/>
              <w:left w:val="nil"/>
              <w:bottom w:val="single" w:color="auto" w:sz="4" w:space="0"/>
              <w:right w:val="single" w:color="000000" w:sz="8" w:space="0"/>
            </w:tcBorders>
            <w:shd w:val="clear" w:color="auto" w:fill="FFFFFF"/>
            <w:vAlign w:val="bottom"/>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ascii="宋体" w:hAnsi="宋体" w:eastAsia="宋体" w:cs="宋体"/>
                <w:color w:val="000000" w:themeColor="text1"/>
                <w:kern w:val="0"/>
                <w:sz w:val="18"/>
                <w:szCs w:val="22"/>
                <w:lang w:val="en-US" w:eastAsia="zh-CN" w:bidi="ar-SA"/>
                <w14:textFill>
                  <w14:solidFill>
                    <w14:schemeClr w14:val="tx1"/>
                  </w14:solidFill>
                </w14:textFill>
              </w:rPr>
              <w:t>中华优秀传统文化</w:t>
            </w:r>
          </w:p>
        </w:tc>
        <w:tc>
          <w:tcPr>
            <w:tcW w:w="1080" w:type="dxa"/>
            <w:tcBorders>
              <w:top w:val="single" w:color="auto" w:sz="4" w:space="0"/>
              <w:left w:val="single" w:color="000000" w:sz="8" w:space="0"/>
              <w:bottom w:val="single" w:color="auto" w:sz="4"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s="宋体"/>
                <w:color w:val="000000" w:themeColor="text1"/>
                <w:kern w:val="0"/>
                <w:sz w:val="18"/>
                <w:szCs w:val="22"/>
                <w:lang w:val="en-US" w:eastAsia="zh-CN" w:bidi="ar-SA"/>
                <w14:textFill>
                  <w14:solidFill>
                    <w14:schemeClr w14:val="tx1"/>
                  </w14:solidFill>
                </w14:textFill>
              </w:rPr>
              <w:t>选修</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1</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16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16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0</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1</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考查</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gjc0106</w:t>
            </w:r>
          </w:p>
        </w:tc>
        <w:tc>
          <w:tcPr>
            <w:tcW w:w="1080" w:type="dxa"/>
            <w:tcBorders>
              <w:top w:val="single" w:color="auto" w:sz="4" w:space="0"/>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kern w:val="0"/>
                <w:sz w:val="18"/>
                <w:szCs w:val="18"/>
                <w:lang w:val="zh-CN" w:eastAsia="zh-CN" w:bidi="ar-SA"/>
              </w:rPr>
            </w:pPr>
            <w:r>
              <w:rPr>
                <w:rFonts w:hint="eastAsia" w:ascii="宋体" w:hAnsi="宋体" w:eastAsia="宋体" w:cs="宋体"/>
                <w:color w:val="000000" w:themeColor="text1"/>
                <w:kern w:val="0"/>
                <w:sz w:val="18"/>
                <w:szCs w:val="22"/>
                <w:lang w:val="en-US" w:eastAsia="zh-CN" w:bidi="ar-SA"/>
                <w14:textFill>
                  <w14:solidFill>
                    <w14:schemeClr w14:val="tx1"/>
                  </w14:solidFill>
                </w14:textFill>
              </w:rPr>
              <w:t>形势与政策</w:t>
            </w:r>
          </w:p>
        </w:tc>
        <w:tc>
          <w:tcPr>
            <w:tcW w:w="1080" w:type="dxa"/>
            <w:vMerge w:val="restart"/>
            <w:tcBorders>
              <w:top w:val="single" w:color="auto" w:sz="4" w:space="0"/>
              <w:left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kern w:val="0"/>
                <w:sz w:val="22"/>
                <w:szCs w:val="21"/>
                <w:lang w:val="zh-CN" w:eastAsia="zh-CN" w:bidi="ar-SA"/>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kern w:val="0"/>
                <w:sz w:val="18"/>
                <w:szCs w:val="18"/>
                <w:lang w:val="zh-CN" w:eastAsia="zh-CN" w:bidi="ar-SA"/>
              </w:rPr>
            </w:pPr>
            <w:r>
              <w:rPr>
                <w:rFonts w:hint="eastAsia"/>
                <w:color w:val="000000" w:themeColor="text1"/>
                <w:sz w:val="18"/>
                <w:lang w:val="en-US" w:eastAsia="zh-CN"/>
                <w14:textFill>
                  <w14:solidFill>
                    <w14:schemeClr w14:val="tx1"/>
                  </w14:solidFill>
                </w14:textFill>
              </w:rPr>
              <w:t>0.25</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kern w:val="0"/>
                <w:sz w:val="18"/>
                <w:szCs w:val="18"/>
                <w:lang w:val="zh-CN" w:eastAsia="zh-CN" w:bidi="ar-SA"/>
              </w:rPr>
            </w:pPr>
            <w:r>
              <w:rPr>
                <w:rFonts w:hint="eastAsia"/>
                <w:color w:val="000000" w:themeColor="text1"/>
                <w:sz w:val="18"/>
                <w:lang w:val="en-US" w:eastAsia="zh-CN"/>
                <w14:textFill>
                  <w14:solidFill>
                    <w14:schemeClr w14:val="tx1"/>
                  </w14:solidFill>
                </w14:textFill>
              </w:rPr>
              <w:t>8</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kern w:val="0"/>
                <w:sz w:val="18"/>
                <w:szCs w:val="18"/>
                <w:lang w:val="zh-CN" w:eastAsia="zh-CN" w:bidi="ar-SA"/>
              </w:rPr>
            </w:pPr>
            <w:r>
              <w:rPr>
                <w:rFonts w:hint="eastAsia"/>
                <w:color w:val="000000" w:themeColor="text1"/>
                <w:sz w:val="18"/>
                <w:lang w:val="en-US" w:eastAsia="zh-CN"/>
                <w14:textFill>
                  <w14:solidFill>
                    <w14:schemeClr w14:val="tx1"/>
                  </w14:solidFill>
                </w14:textFill>
              </w:rPr>
              <w:t>8</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kern w:val="0"/>
                <w:sz w:val="18"/>
                <w:szCs w:val="18"/>
                <w:lang w:val="zh-CN" w:eastAsia="zh-CN" w:bidi="ar-SA"/>
              </w:rPr>
            </w:pPr>
            <w:r>
              <w:rPr>
                <w:rFonts w:hint="eastAsia"/>
                <w:color w:val="000000" w:themeColor="text1"/>
                <w:sz w:val="18"/>
                <w:lang w:val="en-US" w:eastAsia="zh-CN"/>
                <w14:textFill>
                  <w14:solidFill>
                    <w14:schemeClr w14:val="tx1"/>
                  </w14:solidFill>
                </w14:textFill>
              </w:rPr>
              <w:t>0</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kern w:val="0"/>
                <w:sz w:val="18"/>
                <w:szCs w:val="18"/>
                <w:lang w:val="zh-CN" w:eastAsia="zh-CN" w:bidi="ar-SA"/>
              </w:rPr>
            </w:pPr>
            <w:r>
              <w:rPr>
                <w:rFonts w:hint="eastAsia"/>
                <w:color w:val="000000" w:themeColor="text1"/>
                <w:sz w:val="18"/>
                <w:lang w:val="en-US" w:eastAsia="zh-CN"/>
                <w14:textFill>
                  <w14:solidFill>
                    <w14:schemeClr w14:val="tx1"/>
                  </w14:solidFill>
                </w14:textFill>
              </w:rPr>
              <w:t>2（4周）</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kern w:val="0"/>
                <w:sz w:val="18"/>
                <w:szCs w:val="18"/>
                <w:lang w:val="zh-CN" w:eastAsia="zh-CN" w:bidi="ar-SA"/>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kern w:val="0"/>
                <w:sz w:val="18"/>
                <w:szCs w:val="18"/>
                <w:lang w:val="zh-CN" w:eastAsia="zh-CN" w:bidi="ar-SA"/>
              </w:rPr>
            </w:pPr>
            <w:r>
              <w:rPr>
                <w:rFonts w:hint="eastAsia"/>
                <w:color w:val="000000" w:themeColor="text1"/>
                <w:sz w:val="18"/>
                <w:lang w:val="en-US" w:eastAsia="zh-CN"/>
                <w14:textFill>
                  <w14:solidFill>
                    <w14:schemeClr w14:val="tx1"/>
                  </w14:solidFill>
                </w14:textFill>
              </w:rPr>
              <w:t>考查</w:t>
            </w:r>
          </w:p>
        </w:tc>
      </w:tr>
      <w:tr>
        <w:tblPrEx>
          <w:tblCellMar>
            <w:top w:w="0" w:type="dxa"/>
            <w:left w:w="108" w:type="dxa"/>
            <w:bottom w:w="0" w:type="dxa"/>
            <w:right w:w="108" w:type="dxa"/>
          </w:tblCellMar>
        </w:tblPrEx>
        <w:trPr>
          <w:trHeight w:val="91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gjc0107</w:t>
            </w:r>
          </w:p>
        </w:tc>
        <w:tc>
          <w:tcPr>
            <w:tcW w:w="1080" w:type="dxa"/>
            <w:tcBorders>
              <w:top w:val="nil"/>
              <w:left w:val="nil"/>
              <w:bottom w:val="single" w:color="000000" w:sz="8" w:space="0"/>
              <w:right w:val="single" w:color="000000" w:sz="8" w:space="0"/>
            </w:tcBorders>
            <w:shd w:val="clear" w:color="auto" w:fill="auto"/>
            <w:vAlign w:val="center"/>
          </w:tcPr>
          <w:p>
            <w:pPr>
              <w:pStyle w:val="88"/>
              <w:spacing w:line="240" w:lineRule="auto"/>
              <w:jc w:val="center"/>
              <w:rPr>
                <w:rFonts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lang w:eastAsia="zh-CN"/>
                <w14:textFill>
                  <w14:solidFill>
                    <w14:schemeClr w14:val="tx1"/>
                  </w14:solidFill>
                </w14:textFill>
              </w:rPr>
              <w:t>毛泽东思想与中国特色社会主义理论体系概论</w:t>
            </w:r>
          </w:p>
        </w:tc>
        <w:tc>
          <w:tcPr>
            <w:tcW w:w="1080" w:type="dxa"/>
            <w:vMerge w:val="continue"/>
            <w:tcBorders>
              <w:left w:val="single" w:color="000000" w:sz="8" w:space="0"/>
              <w:right w:val="single" w:color="000000" w:sz="8" w:space="0"/>
            </w:tcBorders>
            <w:shd w:val="clear" w:color="auto" w:fill="auto"/>
            <w:vAlign w:val="center"/>
          </w:tcPr>
          <w:p>
            <w:pPr>
              <w:pStyle w:val="88"/>
              <w:spacing w:line="240" w:lineRule="auto"/>
              <w:jc w:val="center"/>
              <w:rPr>
                <w:rFonts w:ascii="宋体" w:hAnsi="宋体" w:eastAsia="宋体" w:cs="宋体"/>
                <w:color w:val="000000" w:themeColor="text1"/>
                <w:kern w:val="0"/>
                <w:sz w:val="18"/>
                <w:szCs w:val="22"/>
                <w:lang w:val="zh-CN" w:eastAsia="zh-CN" w:bidi="ar-SA"/>
                <w14:textFill>
                  <w14:solidFill>
                    <w14:schemeClr w14:val="tx1"/>
                  </w14:solidFill>
                </w14:textFill>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36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26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10</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考试</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gdq0301</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传感器与自动检测技术</w:t>
            </w:r>
          </w:p>
        </w:tc>
        <w:tc>
          <w:tcPr>
            <w:tcW w:w="1080" w:type="dxa"/>
            <w:vMerge w:val="continue"/>
            <w:tcBorders>
              <w:left w:val="single" w:color="000000" w:sz="8" w:space="0"/>
              <w:right w:val="single" w:color="000000" w:sz="8" w:space="0"/>
            </w:tcBorders>
            <w:shd w:val="clear" w:color="auto" w:fill="auto"/>
            <w:vAlign w:val="center"/>
          </w:tcPr>
          <w:p>
            <w:pPr>
              <w:spacing w:line="240" w:lineRule="auto"/>
              <w:jc w:val="left"/>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专业拓展</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trHeight w:val="58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vMerge w:val="restart"/>
            <w:tcBorders>
              <w:top w:val="nil"/>
              <w:left w:val="nil"/>
              <w:right w:val="single" w:color="000000" w:sz="8" w:space="0"/>
            </w:tcBorders>
            <w:shd w:val="clear" w:color="auto" w:fill="FFFFFF"/>
            <w:vAlign w:val="center"/>
          </w:tcPr>
          <w:p>
            <w:pPr>
              <w:widowControl/>
              <w:spacing w:line="240" w:lineRule="auto"/>
              <w:jc w:val="center"/>
              <w:textAlignment w:val="center"/>
              <w:rPr>
                <w:rFonts w:eastAsia="宋体"/>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gdq0208</w:t>
            </w:r>
          </w:p>
        </w:tc>
        <w:tc>
          <w:tcPr>
            <w:tcW w:w="1080" w:type="dxa"/>
            <w:vMerge w:val="restart"/>
            <w:tcBorders>
              <w:top w:val="nil"/>
              <w:left w:val="nil"/>
              <w:right w:val="single" w:color="000000" w:sz="8" w:space="0"/>
            </w:tcBorders>
            <w:shd w:val="clear" w:color="auto" w:fill="FFFFFF"/>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模拟电子基础</w:t>
            </w:r>
          </w:p>
        </w:tc>
        <w:tc>
          <w:tcPr>
            <w:tcW w:w="1080" w:type="dxa"/>
            <w:vMerge w:val="continue"/>
            <w:tcBorders>
              <w:left w:val="single" w:color="000000" w:sz="8" w:space="0"/>
              <w:bottom w:val="single" w:color="auto" w:sz="4" w:space="0"/>
              <w:right w:val="single" w:color="000000" w:sz="8" w:space="0"/>
            </w:tcBorders>
            <w:shd w:val="clear" w:color="auto" w:fill="auto"/>
            <w:vAlign w:val="center"/>
          </w:tcPr>
          <w:p>
            <w:pPr>
              <w:spacing w:line="240" w:lineRule="auto"/>
              <w:jc w:val="left"/>
              <w:rPr>
                <w:rFonts w:ascii="宋体" w:hAnsi="宋体" w:eastAsia="宋体" w:cs="宋体"/>
                <w:color w:val="000000"/>
                <w:szCs w:val="21"/>
              </w:rPr>
            </w:pPr>
          </w:p>
        </w:tc>
        <w:tc>
          <w:tcPr>
            <w:tcW w:w="1080" w:type="dxa"/>
            <w:vMerge w:val="restart"/>
            <w:tcBorders>
              <w:top w:val="nil"/>
              <w:left w:val="nil"/>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vMerge w:val="restart"/>
            <w:tcBorders>
              <w:top w:val="nil"/>
              <w:left w:val="nil"/>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vMerge w:val="restart"/>
            <w:tcBorders>
              <w:top w:val="nil"/>
              <w:left w:val="nil"/>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1080" w:type="dxa"/>
            <w:vMerge w:val="restart"/>
            <w:tcBorders>
              <w:top w:val="nil"/>
              <w:left w:val="nil"/>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62</w:t>
            </w:r>
          </w:p>
        </w:tc>
        <w:tc>
          <w:tcPr>
            <w:tcW w:w="1080" w:type="dxa"/>
            <w:vMerge w:val="restart"/>
            <w:tcBorders>
              <w:top w:val="nil"/>
              <w:left w:val="nil"/>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vMerge w:val="restart"/>
            <w:tcBorders>
              <w:top w:val="nil"/>
              <w:left w:val="nil"/>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专业基础</w:t>
            </w:r>
          </w:p>
        </w:tc>
        <w:tc>
          <w:tcPr>
            <w:tcW w:w="1080" w:type="dxa"/>
            <w:vMerge w:val="restart"/>
            <w:tcBorders>
              <w:top w:val="nil"/>
              <w:left w:val="nil"/>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12"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vMerge w:val="continue"/>
            <w:tcBorders>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themeColor="text1"/>
                <w:kern w:val="0"/>
                <w:sz w:val="18"/>
                <w:szCs w:val="18"/>
                <w14:textFill>
                  <w14:solidFill>
                    <w14:schemeClr w14:val="tx1"/>
                  </w14:solidFill>
                </w14:textFill>
              </w:rPr>
            </w:pPr>
          </w:p>
        </w:tc>
        <w:tc>
          <w:tcPr>
            <w:tcW w:w="1080" w:type="dxa"/>
            <w:vMerge w:val="continue"/>
            <w:tcBorders>
              <w:left w:val="nil"/>
              <w:bottom w:val="single" w:color="auto" w:sz="4"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themeColor="text1"/>
                <w:kern w:val="0"/>
                <w:sz w:val="18"/>
                <w:szCs w:val="18"/>
                <w14:textFill>
                  <w14:solidFill>
                    <w14:schemeClr w14:val="tx1"/>
                  </w14:solidFill>
                </w14:textFill>
              </w:rPr>
            </w:pPr>
          </w:p>
        </w:tc>
        <w:tc>
          <w:tcPr>
            <w:tcW w:w="1080" w:type="dxa"/>
            <w:tcBorders>
              <w:top w:val="single" w:color="auto" w:sz="4" w:space="0"/>
              <w:left w:val="single" w:color="000000" w:sz="8" w:space="0"/>
              <w:bottom w:val="single" w:color="auto" w:sz="4" w:space="0"/>
              <w:right w:val="single" w:color="000000" w:sz="8" w:space="0"/>
            </w:tcBorders>
            <w:shd w:val="clear" w:color="auto" w:fill="auto"/>
            <w:vAlign w:val="center"/>
          </w:tcPr>
          <w:p>
            <w:pPr>
              <w:spacing w:line="240" w:lineRule="auto"/>
              <w:jc w:val="left"/>
              <w:rPr>
                <w:rFonts w:hint="eastAsia" w:ascii="宋体" w:hAnsi="宋体" w:eastAsia="宋体" w:cs="宋体"/>
                <w:color w:val="000000"/>
                <w:szCs w:val="21"/>
                <w:lang w:val="en-US" w:eastAsia="zh-CN"/>
              </w:rPr>
            </w:pPr>
          </w:p>
        </w:tc>
        <w:tc>
          <w:tcPr>
            <w:tcW w:w="1080" w:type="dxa"/>
            <w:vMerge w:val="continue"/>
            <w:tcBorders>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0"/>
                <w:sz w:val="18"/>
                <w:szCs w:val="18"/>
              </w:rPr>
            </w:pPr>
          </w:p>
        </w:tc>
        <w:tc>
          <w:tcPr>
            <w:tcW w:w="1080" w:type="dxa"/>
            <w:vMerge w:val="continue"/>
            <w:tcBorders>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0"/>
                <w:sz w:val="18"/>
                <w:szCs w:val="18"/>
              </w:rPr>
            </w:pPr>
          </w:p>
        </w:tc>
        <w:tc>
          <w:tcPr>
            <w:tcW w:w="1080" w:type="dxa"/>
            <w:vMerge w:val="continue"/>
            <w:tcBorders>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0"/>
                <w:sz w:val="18"/>
                <w:szCs w:val="18"/>
              </w:rPr>
            </w:pPr>
          </w:p>
        </w:tc>
        <w:tc>
          <w:tcPr>
            <w:tcW w:w="1080" w:type="dxa"/>
            <w:vMerge w:val="continue"/>
            <w:tcBorders>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0"/>
                <w:sz w:val="18"/>
                <w:szCs w:val="18"/>
              </w:rPr>
            </w:pPr>
          </w:p>
        </w:tc>
        <w:tc>
          <w:tcPr>
            <w:tcW w:w="1080" w:type="dxa"/>
            <w:vMerge w:val="continue"/>
            <w:tcBorders>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0"/>
                <w:sz w:val="18"/>
                <w:szCs w:val="18"/>
              </w:rPr>
            </w:pPr>
          </w:p>
        </w:tc>
        <w:tc>
          <w:tcPr>
            <w:tcW w:w="1080" w:type="dxa"/>
            <w:vMerge w:val="continue"/>
            <w:tcBorders>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0"/>
                <w:sz w:val="18"/>
                <w:szCs w:val="18"/>
              </w:rPr>
            </w:pPr>
          </w:p>
        </w:tc>
        <w:tc>
          <w:tcPr>
            <w:tcW w:w="1080" w:type="dxa"/>
            <w:vMerge w:val="continue"/>
            <w:tcBorders>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0"/>
                <w:sz w:val="18"/>
                <w:szCs w:val="18"/>
              </w:rPr>
            </w:pPr>
          </w:p>
        </w:tc>
      </w:tr>
      <w:tr>
        <w:tblPrEx>
          <w:tblCellMar>
            <w:top w:w="0" w:type="dxa"/>
            <w:left w:w="108" w:type="dxa"/>
            <w:bottom w:w="0" w:type="dxa"/>
            <w:right w:w="108" w:type="dxa"/>
          </w:tblCellMar>
        </w:tblPrEx>
        <w:trPr>
          <w:trHeight w:val="1278"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gdq0306</w:t>
            </w:r>
          </w:p>
        </w:tc>
        <w:tc>
          <w:tcPr>
            <w:tcW w:w="1080" w:type="dxa"/>
            <w:tcBorders>
              <w:top w:val="single" w:color="auto" w:sz="4" w:space="0"/>
              <w:left w:val="nil"/>
              <w:bottom w:val="single" w:color="auto" w:sz="4" w:space="0"/>
              <w:right w:val="single" w:color="000000" w:sz="8" w:space="0"/>
            </w:tcBorders>
            <w:shd w:val="clear" w:color="auto" w:fill="FFFFFF"/>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微机原理与接口技术</w:t>
            </w:r>
          </w:p>
        </w:tc>
        <w:tc>
          <w:tcPr>
            <w:tcW w:w="1080" w:type="dxa"/>
            <w:vMerge w:val="restart"/>
            <w:tcBorders>
              <w:top w:val="single" w:color="auto" w:sz="4" w:space="0"/>
              <w:left w:val="single" w:color="000000" w:sz="8" w:space="0"/>
              <w:right w:val="single" w:color="000000" w:sz="8" w:space="0"/>
            </w:tcBorders>
            <w:shd w:val="clear" w:color="auto" w:fill="auto"/>
            <w:vAlign w:val="center"/>
          </w:tcPr>
          <w:p>
            <w:pPr>
              <w:spacing w:line="240" w:lineRule="auto"/>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选修</w:t>
            </w:r>
          </w:p>
        </w:tc>
        <w:tc>
          <w:tcPr>
            <w:tcW w:w="108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rPr>
              <w:t>1</w:t>
            </w:r>
            <w:r>
              <w:rPr>
                <w:rFonts w:hint="eastAsia" w:ascii="宋体" w:hAnsi="宋体" w:eastAsia="宋体" w:cs="宋体"/>
                <w:color w:val="000000"/>
                <w:kern w:val="0"/>
                <w:sz w:val="18"/>
                <w:szCs w:val="18"/>
                <w:lang w:val="en-US" w:eastAsia="zh-CN"/>
              </w:rPr>
              <w:t>2</w:t>
            </w:r>
          </w:p>
        </w:tc>
        <w:tc>
          <w:tcPr>
            <w:tcW w:w="108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60</w:t>
            </w:r>
          </w:p>
        </w:tc>
        <w:tc>
          <w:tcPr>
            <w:tcW w:w="108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lang w:val="en-US" w:eastAsia="zh-CN"/>
              </w:rPr>
              <w:t>专业拓展</w:t>
            </w:r>
          </w:p>
        </w:tc>
        <w:tc>
          <w:tcPr>
            <w:tcW w:w="108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trHeight w:val="69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gdq0401</w:t>
            </w:r>
          </w:p>
        </w:tc>
        <w:tc>
          <w:tcPr>
            <w:tcW w:w="1080" w:type="dxa"/>
            <w:tcBorders>
              <w:top w:val="single" w:color="auto" w:sz="4"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DSP原理及应用</w:t>
            </w:r>
          </w:p>
        </w:tc>
        <w:tc>
          <w:tcPr>
            <w:tcW w:w="1080" w:type="dxa"/>
            <w:vMerge w:val="continue"/>
            <w:tcBorders>
              <w:left w:val="single" w:color="000000" w:sz="8" w:space="0"/>
              <w:right w:val="single" w:color="000000" w:sz="8" w:space="0"/>
            </w:tcBorders>
            <w:shd w:val="clear" w:color="auto" w:fill="auto"/>
            <w:vAlign w:val="center"/>
          </w:tcPr>
          <w:p>
            <w:pPr>
              <w:spacing w:line="240" w:lineRule="auto"/>
              <w:jc w:val="center"/>
              <w:rPr>
                <w:rFonts w:hint="eastAsia" w:ascii="宋体" w:hAnsi="宋体" w:eastAsia="宋体" w:cs="宋体"/>
                <w:color w:val="000000"/>
                <w:szCs w:val="21"/>
                <w:lang w:val="en-US" w:eastAsia="zh-CN"/>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专业拓展</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FF0000"/>
                <w:sz w:val="18"/>
                <w:szCs w:val="18"/>
              </w:rPr>
            </w:pPr>
            <w:r>
              <w:rPr>
                <w:rFonts w:hint="eastAsia"/>
                <w:sz w:val="18"/>
                <w:szCs w:val="18"/>
              </w:rPr>
              <w:t>zdq0302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楼宇综合布线</w:t>
            </w:r>
          </w:p>
        </w:tc>
        <w:tc>
          <w:tcPr>
            <w:tcW w:w="1080" w:type="dxa"/>
            <w:vMerge w:val="continue"/>
            <w:tcBorders>
              <w:left w:val="single" w:color="000000" w:sz="8" w:space="0"/>
              <w:bottom w:val="single" w:color="auto" w:sz="4" w:space="0"/>
              <w:right w:val="single" w:color="000000" w:sz="8" w:space="0"/>
            </w:tcBorders>
            <w:shd w:val="clear" w:color="auto" w:fill="auto"/>
            <w:vAlign w:val="center"/>
          </w:tcPr>
          <w:p>
            <w:pPr>
              <w:spacing w:line="240" w:lineRule="auto"/>
              <w:jc w:val="left"/>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12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60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rPr>
              <w:t>专业拓展</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trHeight w:val="300"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sz w:val="18"/>
                <w:szCs w:val="18"/>
              </w:rPr>
            </w:pPr>
            <w:r>
              <w:rPr>
                <w:rFonts w:hint="eastAsia" w:ascii="宋体" w:hAnsi="宋体" w:eastAsia="宋体" w:cs="宋体"/>
                <w:kern w:val="0"/>
                <w:sz w:val="18"/>
                <w:szCs w:val="18"/>
              </w:rPr>
              <w:t>PLC实训</w:t>
            </w:r>
          </w:p>
        </w:tc>
        <w:tc>
          <w:tcPr>
            <w:tcW w:w="1080" w:type="dxa"/>
            <w:tcBorders>
              <w:top w:val="single" w:color="auto" w:sz="4" w:space="0"/>
              <w:left w:val="single" w:color="000000" w:sz="8" w:space="0"/>
              <w:bottom w:val="single" w:color="000000" w:sz="8" w:space="0"/>
              <w:right w:val="single" w:color="000000" w:sz="8" w:space="0"/>
            </w:tcBorders>
            <w:shd w:val="clear" w:color="auto" w:fill="auto"/>
            <w:vAlign w:val="center"/>
          </w:tcPr>
          <w:p>
            <w:pPr>
              <w:spacing w:line="240" w:lineRule="auto"/>
              <w:jc w:val="left"/>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专业实训</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trHeight w:val="285" w:hRule="atLeast"/>
        </w:trPr>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合计</w:t>
            </w: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31.25</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564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232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332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rPr>
              <w:t>3</w:t>
            </w:r>
            <w:r>
              <w:rPr>
                <w:rFonts w:hint="eastAsia" w:ascii="宋体" w:hAnsi="宋体" w:eastAsia="宋体" w:cs="宋体"/>
                <w:color w:val="000000"/>
                <w:kern w:val="0"/>
                <w:sz w:val="18"/>
                <w:szCs w:val="18"/>
                <w:lang w:val="en-US" w:eastAsia="zh-CN"/>
              </w:rPr>
              <w:t>1</w:t>
            </w: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等线" w:hAnsi="等线" w:eastAsia="等线" w:cs="等线"/>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等线" w:hAnsi="等线" w:eastAsia="等线" w:cs="等线"/>
                <w:color w:val="000000"/>
                <w:sz w:val="18"/>
                <w:szCs w:val="18"/>
              </w:rPr>
            </w:pPr>
          </w:p>
        </w:tc>
      </w:tr>
      <w:tr>
        <w:tblPrEx>
          <w:tblCellMar>
            <w:top w:w="0" w:type="dxa"/>
            <w:left w:w="108" w:type="dxa"/>
            <w:bottom w:w="0" w:type="dxa"/>
            <w:right w:w="108" w:type="dxa"/>
          </w:tblCellMar>
        </w:tblPrEx>
        <w:trPr>
          <w:trHeight w:val="285" w:hRule="atLeast"/>
        </w:trPr>
        <w:tc>
          <w:tcPr>
            <w:tcW w:w="1080"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第七学期（18+2周）</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gjc0103</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大学体育</w:t>
            </w:r>
            <w:r>
              <w:rPr>
                <w:rFonts w:hint="eastAsia"/>
                <w:color w:val="000000" w:themeColor="text1"/>
                <w:sz w:val="18"/>
                <w:lang w:val="en-US" w:eastAsia="zh-CN"/>
                <w14:textFill>
                  <w14:solidFill>
                    <w14:schemeClr w14:val="tx1"/>
                  </w14:solidFill>
                </w14:textFill>
              </w:rPr>
              <w:t>与健康</w:t>
            </w:r>
          </w:p>
        </w:tc>
        <w:tc>
          <w:tcPr>
            <w:tcW w:w="108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必修</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36</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4</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3</w:t>
            </w:r>
            <w:r>
              <w:rPr>
                <w:rFonts w:hint="eastAsia"/>
                <w:color w:val="000000" w:themeColor="text1"/>
                <w:sz w:val="18"/>
                <w:lang w:val="en-US" w:eastAsia="zh-CN"/>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考试</w:t>
            </w:r>
          </w:p>
        </w:tc>
      </w:tr>
      <w:tr>
        <w:tblPrEx>
          <w:tblCellMar>
            <w:top w:w="0" w:type="dxa"/>
            <w:left w:w="108" w:type="dxa"/>
            <w:bottom w:w="0" w:type="dxa"/>
            <w:right w:w="108" w:type="dxa"/>
          </w:tblCellMar>
        </w:tblPrEx>
        <w:trPr>
          <w:trHeight w:val="28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gjc0112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大学英语</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240" w:lineRule="auto"/>
              <w:jc w:val="center"/>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rPr>
              <w:t>3</w:t>
            </w:r>
            <w:r>
              <w:rPr>
                <w:rFonts w:hint="eastAsia" w:ascii="宋体" w:hAnsi="宋体" w:eastAsia="宋体" w:cs="宋体"/>
                <w:color w:val="000000"/>
                <w:kern w:val="0"/>
                <w:sz w:val="18"/>
                <w:szCs w:val="18"/>
                <w:lang w:val="en-US" w:eastAsia="zh-CN"/>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rPr>
              <w:t>3</w:t>
            </w:r>
            <w:r>
              <w:rPr>
                <w:rFonts w:hint="eastAsia" w:ascii="宋体" w:hAnsi="宋体" w:eastAsia="宋体" w:cs="宋体"/>
                <w:color w:val="000000"/>
                <w:kern w:val="0"/>
                <w:sz w:val="18"/>
                <w:szCs w:val="18"/>
                <w:lang w:val="en-US" w:eastAsia="zh-CN"/>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gjc0111</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高等数学</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spacing w:line="240" w:lineRule="auto"/>
              <w:jc w:val="center"/>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rPr>
              <w:t>3</w:t>
            </w:r>
            <w:r>
              <w:rPr>
                <w:rFonts w:hint="eastAsia" w:ascii="宋体" w:hAnsi="宋体" w:eastAsia="宋体" w:cs="宋体"/>
                <w:color w:val="000000"/>
                <w:kern w:val="0"/>
                <w:sz w:val="18"/>
                <w:szCs w:val="18"/>
                <w:lang w:val="en-US" w:eastAsia="zh-CN"/>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rPr>
              <w:t>3</w:t>
            </w:r>
            <w:r>
              <w:rPr>
                <w:rFonts w:hint="eastAsia" w:ascii="宋体" w:hAnsi="宋体" w:eastAsia="宋体" w:cs="宋体"/>
                <w:color w:val="000000"/>
                <w:kern w:val="0"/>
                <w:sz w:val="18"/>
                <w:szCs w:val="18"/>
                <w:lang w:val="en-US" w:eastAsia="zh-CN"/>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公共基础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91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gjc0120</w:t>
            </w:r>
          </w:p>
        </w:tc>
        <w:tc>
          <w:tcPr>
            <w:tcW w:w="1080" w:type="dxa"/>
            <w:tcBorders>
              <w:top w:val="nil"/>
              <w:left w:val="nil"/>
              <w:bottom w:val="single" w:color="000000" w:sz="8" w:space="0"/>
              <w:right w:val="single" w:color="000000" w:sz="8" w:space="0"/>
            </w:tcBorders>
            <w:shd w:val="clear" w:color="auto" w:fill="auto"/>
            <w:vAlign w:val="center"/>
          </w:tcPr>
          <w:p>
            <w:pPr>
              <w:pStyle w:val="88"/>
              <w:spacing w:line="240" w:lineRule="auto"/>
              <w:jc w:val="center"/>
              <w:rPr>
                <w:rFonts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lang w:eastAsia="zh-CN"/>
                <w14:textFill>
                  <w14:solidFill>
                    <w14:schemeClr w14:val="tx1"/>
                  </w14:solidFill>
                </w14:textFill>
              </w:rPr>
              <w:t>习近平新时代中国特色社会主义思想概论</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1.5</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24</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19</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5</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考试</w:t>
            </w:r>
          </w:p>
        </w:tc>
      </w:tr>
      <w:tr>
        <w:tblPrEx>
          <w:tblCellMar>
            <w:top w:w="0" w:type="dxa"/>
            <w:left w:w="108" w:type="dxa"/>
            <w:bottom w:w="0" w:type="dxa"/>
            <w:right w:w="108" w:type="dxa"/>
          </w:tblCellMar>
        </w:tblPrEx>
        <w:trPr>
          <w:trHeight w:val="300"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gjc0106</w:t>
            </w:r>
          </w:p>
        </w:tc>
        <w:tc>
          <w:tcPr>
            <w:tcW w:w="1080" w:type="dxa"/>
            <w:tcBorders>
              <w:top w:val="nil"/>
              <w:left w:val="nil"/>
              <w:bottom w:val="single" w:color="000000" w:sz="8" w:space="0"/>
              <w:right w:val="single" w:color="000000" w:sz="8" w:space="0"/>
            </w:tcBorders>
            <w:shd w:val="clear" w:color="auto" w:fill="FFFFFF"/>
            <w:vAlign w:val="bottom"/>
          </w:tcPr>
          <w:p>
            <w:pPr>
              <w:keepNext w:val="0"/>
              <w:keepLines w:val="0"/>
              <w:widowControl/>
              <w:suppressLineNumbers w:val="0"/>
              <w:spacing w:line="240" w:lineRule="auto"/>
              <w:jc w:val="center"/>
              <w:textAlignment w:val="bottom"/>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color w:val="000000" w:themeColor="text1"/>
                <w:kern w:val="0"/>
                <w:sz w:val="18"/>
                <w:szCs w:val="22"/>
                <w:lang w:val="en-US" w:eastAsia="zh-CN" w:bidi="ar-SA"/>
                <w14:textFill>
                  <w14:solidFill>
                    <w14:schemeClr w14:val="tx1"/>
                  </w14:solidFill>
                </w14:textFill>
              </w:rPr>
              <w:t>形势与政策</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0.25</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8</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8</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0</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2（4周）</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考查</w:t>
            </w:r>
          </w:p>
        </w:tc>
      </w:tr>
      <w:tr>
        <w:tblPrEx>
          <w:tblCellMar>
            <w:top w:w="0" w:type="dxa"/>
            <w:left w:w="108" w:type="dxa"/>
            <w:bottom w:w="0" w:type="dxa"/>
            <w:right w:w="108" w:type="dxa"/>
          </w:tblCellMar>
        </w:tblPrEx>
        <w:trPr>
          <w:trHeight w:val="300" w:hRule="atLeast"/>
        </w:trPr>
        <w:tc>
          <w:tcPr>
            <w:tcW w:w="1080" w:type="dxa"/>
            <w:vMerge w:val="continue"/>
            <w:tcBorders>
              <w:top w:val="nil"/>
              <w:left w:val="single" w:color="000000" w:sz="8" w:space="0"/>
              <w:bottom w:val="single" w:color="auto" w:sz="4"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gjq0302</w:t>
            </w: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自动化设备调试与维护</w:t>
            </w:r>
          </w:p>
        </w:tc>
        <w:tc>
          <w:tcPr>
            <w:tcW w:w="1080" w:type="dxa"/>
            <w:vMerge w:val="restart"/>
            <w:tcBorders>
              <w:top w:val="nil"/>
              <w:left w:val="nil"/>
              <w:bottom w:val="single" w:color="auto" w:sz="4" w:space="0"/>
              <w:right w:val="single" w:color="000000" w:sz="8" w:space="0"/>
            </w:tcBorders>
            <w:shd w:val="clear" w:color="auto" w:fill="auto"/>
            <w:vAlign w:val="center"/>
          </w:tcPr>
          <w:p>
            <w:pPr>
              <w:spacing w:line="240" w:lineRule="auto"/>
              <w:jc w:val="left"/>
              <w:rPr>
                <w:rFonts w:ascii="宋体" w:hAnsi="宋体" w:eastAsia="宋体" w:cs="宋体"/>
                <w:color w:val="C00000"/>
                <w:sz w:val="18"/>
                <w:szCs w:val="18"/>
              </w:rPr>
            </w:pP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54</w:t>
            </w: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18</w:t>
            </w: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专业基础</w:t>
            </w: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735" w:hRule="atLeast"/>
        </w:trPr>
        <w:tc>
          <w:tcPr>
            <w:tcW w:w="1080" w:type="dxa"/>
            <w:vMerge w:val="continue"/>
            <w:tcBorders>
              <w:top w:val="single" w:color="auto" w:sz="4"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gdq0307</w:t>
            </w:r>
          </w:p>
        </w:tc>
        <w:tc>
          <w:tcPr>
            <w:tcW w:w="1080"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变频器技术</w:t>
            </w:r>
          </w:p>
        </w:tc>
        <w:tc>
          <w:tcPr>
            <w:tcW w:w="1080" w:type="dxa"/>
            <w:vMerge w:val="continue"/>
            <w:tcBorders>
              <w:top w:val="single" w:color="auto" w:sz="4" w:space="0"/>
              <w:left w:val="nil"/>
              <w:bottom w:val="single" w:color="000000" w:sz="8" w:space="0"/>
              <w:right w:val="single" w:color="000000" w:sz="8" w:space="0"/>
            </w:tcBorders>
            <w:shd w:val="clear" w:color="auto" w:fill="auto"/>
            <w:vAlign w:val="center"/>
          </w:tcPr>
          <w:p>
            <w:pPr>
              <w:spacing w:line="240" w:lineRule="auto"/>
              <w:jc w:val="left"/>
              <w:rPr>
                <w:rFonts w:ascii="宋体" w:hAnsi="宋体" w:eastAsia="宋体" w:cs="宋体"/>
                <w:color w:val="C00000"/>
                <w:sz w:val="18"/>
                <w:szCs w:val="18"/>
              </w:rPr>
            </w:pPr>
          </w:p>
        </w:tc>
        <w:tc>
          <w:tcPr>
            <w:tcW w:w="1080" w:type="dxa"/>
            <w:tcBorders>
              <w:top w:val="single" w:color="auto" w:sz="4"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single" w:color="auto" w:sz="4"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single" w:color="auto" w:sz="4"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18</w:t>
            </w:r>
          </w:p>
        </w:tc>
        <w:tc>
          <w:tcPr>
            <w:tcW w:w="1080" w:type="dxa"/>
            <w:tcBorders>
              <w:top w:val="single" w:color="auto" w:sz="4"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54</w:t>
            </w:r>
          </w:p>
        </w:tc>
        <w:tc>
          <w:tcPr>
            <w:tcW w:w="1080" w:type="dxa"/>
            <w:tcBorders>
              <w:top w:val="single" w:color="auto" w:sz="4"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single" w:color="auto" w:sz="4"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专业拓展</w:t>
            </w:r>
          </w:p>
        </w:tc>
        <w:tc>
          <w:tcPr>
            <w:tcW w:w="1080" w:type="dxa"/>
            <w:tcBorders>
              <w:top w:val="single" w:color="auto" w:sz="4"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gjq0403</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数字电子技术</w:t>
            </w:r>
          </w:p>
        </w:tc>
        <w:tc>
          <w:tcPr>
            <w:tcW w:w="1080" w:type="dxa"/>
            <w:vMerge w:val="continue"/>
            <w:tcBorders>
              <w:top w:val="nil"/>
              <w:left w:val="nil"/>
              <w:bottom w:val="single" w:color="000000" w:sz="8" w:space="0"/>
              <w:right w:val="single" w:color="000000" w:sz="8" w:space="0"/>
            </w:tcBorders>
            <w:shd w:val="clear" w:color="auto" w:fill="auto"/>
            <w:vAlign w:val="center"/>
          </w:tcPr>
          <w:p>
            <w:pPr>
              <w:spacing w:line="240" w:lineRule="auto"/>
              <w:jc w:val="left"/>
              <w:rPr>
                <w:rFonts w:ascii="宋体" w:hAnsi="宋体" w:eastAsia="宋体" w:cs="宋体"/>
                <w:color w:val="C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专业核心</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gjq0206</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PLC控制线路运行维护</w:t>
            </w:r>
          </w:p>
        </w:tc>
        <w:tc>
          <w:tcPr>
            <w:tcW w:w="1080" w:type="dxa"/>
            <w:vMerge w:val="continue"/>
            <w:tcBorders>
              <w:top w:val="nil"/>
              <w:left w:val="nil"/>
              <w:bottom w:val="single" w:color="000000" w:sz="8" w:space="0"/>
              <w:right w:val="single" w:color="000000" w:sz="8" w:space="0"/>
            </w:tcBorders>
            <w:shd w:val="clear" w:color="auto" w:fill="auto"/>
            <w:vAlign w:val="center"/>
          </w:tcPr>
          <w:p>
            <w:pPr>
              <w:spacing w:line="240" w:lineRule="auto"/>
              <w:jc w:val="left"/>
              <w:rPr>
                <w:rFonts w:ascii="宋体" w:hAnsi="宋体" w:eastAsia="宋体" w:cs="宋体"/>
                <w:color w:val="C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专业拓展</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line="240" w:lineRule="auto"/>
              <w:jc w:val="center"/>
              <w:textAlignment w:val="bottom"/>
              <w:rPr>
                <w:rFonts w:hint="eastAsia" w:ascii="宋体" w:hAnsi="宋体" w:eastAsia="宋体" w:cs="宋体"/>
                <w:i w:val="0"/>
                <w:iCs w:val="0"/>
                <w:color w:val="000000"/>
                <w:kern w:val="0"/>
                <w:sz w:val="21"/>
                <w:szCs w:val="21"/>
                <w:u w:val="none"/>
                <w:lang w:val="en-US" w:eastAsia="zh-CN" w:bidi="ar"/>
              </w:rPr>
            </w:pPr>
          </w:p>
        </w:tc>
        <w:tc>
          <w:tcPr>
            <w:tcW w:w="1080" w:type="dxa"/>
            <w:tcBorders>
              <w:top w:val="nil"/>
              <w:left w:val="nil"/>
              <w:bottom w:val="single" w:color="000000" w:sz="8" w:space="0"/>
              <w:right w:val="single" w:color="000000" w:sz="8" w:space="0"/>
            </w:tcBorders>
            <w:shd w:val="clear" w:color="auto" w:fill="auto"/>
            <w:vAlign w:val="bottom"/>
          </w:tcPr>
          <w:p>
            <w:pPr>
              <w:keepNext w:val="0"/>
              <w:keepLines w:val="0"/>
              <w:widowControl/>
              <w:suppressLineNumbers w:val="0"/>
              <w:spacing w:line="240" w:lineRule="auto"/>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000000" w:themeColor="text1"/>
                <w:kern w:val="0"/>
                <w:sz w:val="18"/>
                <w:szCs w:val="18"/>
                <w:lang w:val="en-US" w:eastAsia="zh-CN"/>
                <w14:textFill>
                  <w14:solidFill>
                    <w14:schemeClr w14:val="tx1"/>
                  </w14:solidFill>
                </w14:textFill>
              </w:rPr>
              <w:t>影视鉴赏</w:t>
            </w:r>
          </w:p>
        </w:tc>
        <w:tc>
          <w:tcPr>
            <w:tcW w:w="1080" w:type="dxa"/>
            <w:vMerge w:val="restart"/>
            <w:tcBorders>
              <w:top w:val="single" w:color="000000" w:sz="8" w:space="0"/>
              <w:left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选修</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32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32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0</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2</w:t>
            </w:r>
          </w:p>
        </w:tc>
        <w:tc>
          <w:tcPr>
            <w:tcW w:w="1080" w:type="dxa"/>
            <w:tcBorders>
              <w:top w:val="single" w:color="000000" w:sz="8" w:space="0"/>
              <w:left w:val="single" w:color="000000" w:sz="8" w:space="0"/>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14:textFill>
                  <w14:solidFill>
                    <w14:schemeClr w14:val="tx1"/>
                  </w14:solidFill>
                </w14:textFill>
              </w:rPr>
              <w:t>公共选修</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lang w:val="en-US"/>
                <w14:textFill>
                  <w14:solidFill>
                    <w14:schemeClr w14:val="tx1"/>
                  </w14:solidFill>
                </w14:textFill>
              </w:rPr>
              <w:t>考查</w:t>
            </w:r>
          </w:p>
        </w:tc>
      </w:tr>
      <w:tr>
        <w:tblPrEx>
          <w:tblCellMar>
            <w:top w:w="0" w:type="dxa"/>
            <w:left w:w="108" w:type="dxa"/>
            <w:bottom w:w="0" w:type="dxa"/>
            <w:right w:w="108" w:type="dxa"/>
          </w:tblCellMar>
        </w:tblPrEx>
        <w:trPr>
          <w:trHeight w:val="46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gjc0119</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传感器应用技术</w:t>
            </w:r>
          </w:p>
        </w:tc>
        <w:tc>
          <w:tcPr>
            <w:tcW w:w="1080" w:type="dxa"/>
            <w:vMerge w:val="continue"/>
            <w:tcBorders>
              <w:left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72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24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rPr>
              <w:t>4</w:t>
            </w:r>
            <w:r>
              <w:rPr>
                <w:rFonts w:hint="eastAsia" w:ascii="宋体" w:hAnsi="宋体" w:eastAsia="宋体" w:cs="宋体"/>
                <w:color w:val="000000"/>
                <w:kern w:val="0"/>
                <w:sz w:val="18"/>
                <w:szCs w:val="18"/>
                <w:lang w:val="en-US" w:eastAsia="zh-CN"/>
              </w:rPr>
              <w:t>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rPr>
              <w:t>4</w:t>
            </w:r>
          </w:p>
        </w:tc>
        <w:tc>
          <w:tcPr>
            <w:tcW w:w="108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专业拓展</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gjq0404</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自动生产线的集成与控制</w:t>
            </w:r>
          </w:p>
        </w:tc>
        <w:tc>
          <w:tcPr>
            <w:tcW w:w="1080" w:type="dxa"/>
            <w:vMerge w:val="continue"/>
            <w:tcBorders>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rPr>
              <w:t>4</w:t>
            </w:r>
          </w:p>
        </w:tc>
        <w:tc>
          <w:tcPr>
            <w:tcW w:w="108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300"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电工技能实训</w:t>
            </w:r>
          </w:p>
        </w:tc>
        <w:tc>
          <w:tcPr>
            <w:tcW w:w="1080" w:type="dxa"/>
            <w:tcBorders>
              <w:top w:val="single" w:color="000000" w:sz="8" w:space="0"/>
              <w:left w:val="nil"/>
              <w:bottom w:val="single" w:color="000000" w:sz="8" w:space="0"/>
              <w:right w:val="single" w:color="000000" w:sz="8" w:space="0"/>
            </w:tcBorders>
            <w:shd w:val="clear" w:color="auto" w:fill="FFFFFF"/>
            <w:vAlign w:val="center"/>
          </w:tcPr>
          <w:p>
            <w:pPr>
              <w:spacing w:line="240" w:lineRule="auto"/>
              <w:jc w:val="left"/>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专业实训</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trHeight w:val="28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合计</w:t>
            </w: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themeColor="text1"/>
                <w:sz w:val="18"/>
                <w:szCs w:val="18"/>
                <w14:textFill>
                  <w14:solidFill>
                    <w14:schemeClr w14:val="tx1"/>
                  </w14:solidFill>
                </w14:textFill>
              </w:rPr>
            </w:pP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35.75</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616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203</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rPr>
              <w:t>32</w:t>
            </w:r>
            <w:r>
              <w:rPr>
                <w:rFonts w:hint="eastAsia" w:ascii="宋体" w:hAnsi="宋体" w:eastAsia="宋体" w:cs="宋体"/>
                <w:color w:val="000000"/>
                <w:kern w:val="0"/>
                <w:sz w:val="18"/>
                <w:szCs w:val="18"/>
                <w:lang w:val="en-US" w:eastAsia="zh-CN"/>
              </w:rPr>
              <w:t>3</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rPr>
              <w:t>3</w:t>
            </w:r>
            <w:r>
              <w:rPr>
                <w:rFonts w:hint="eastAsia" w:ascii="宋体" w:hAnsi="宋体" w:eastAsia="宋体" w:cs="宋体"/>
                <w:color w:val="000000"/>
                <w:kern w:val="0"/>
                <w:sz w:val="18"/>
                <w:szCs w:val="18"/>
                <w:lang w:val="en-US" w:eastAsia="zh-CN"/>
              </w:rPr>
              <w:t>4</w:t>
            </w: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等线" w:hAnsi="等线" w:eastAsia="等线" w:cs="等线"/>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690" w:hRule="atLeast"/>
        </w:trPr>
        <w:tc>
          <w:tcPr>
            <w:tcW w:w="1080"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第八学期（18+2周）</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color w:val="000000" w:themeColor="text1"/>
                <w:sz w:val="18"/>
                <w14:textFill>
                  <w14:solidFill>
                    <w14:schemeClr w14:val="tx1"/>
                  </w14:solidFill>
                </w14:textFill>
              </w:rPr>
            </w:pPr>
            <w:r>
              <w:rPr>
                <w:rFonts w:hint="eastAsia"/>
                <w:color w:val="000000" w:themeColor="text1"/>
                <w:sz w:val="18"/>
                <w:lang w:eastAsia="zh-CN"/>
                <w14:textFill>
                  <w14:solidFill>
                    <w14:schemeClr w14:val="tx1"/>
                  </w14:solidFill>
                </w14:textFill>
              </w:rPr>
              <w:t>g</w:t>
            </w:r>
            <w:r>
              <w:rPr>
                <w:rFonts w:hint="eastAsia"/>
                <w:color w:val="000000" w:themeColor="text1"/>
                <w:sz w:val="18"/>
                <w14:textFill>
                  <w14:solidFill>
                    <w14:schemeClr w14:val="tx1"/>
                  </w14:solidFill>
                </w14:textFill>
              </w:rPr>
              <w:t>jc</w:t>
            </w:r>
          </w:p>
          <w:p>
            <w:pPr>
              <w:pStyle w:val="88"/>
              <w:spacing w:line="240" w:lineRule="auto"/>
              <w:jc w:val="center"/>
              <w:rPr>
                <w:rFonts w:hint="eastAsia"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14:textFill>
                  <w14:solidFill>
                    <w14:schemeClr w14:val="tx1"/>
                  </w14:solidFill>
                </w14:textFill>
              </w:rPr>
              <w:t>0112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14:textFill>
                  <w14:solidFill>
                    <w14:schemeClr w14:val="tx1"/>
                  </w14:solidFill>
                </w14:textFill>
              </w:rPr>
              <w:t>大学英语</w:t>
            </w:r>
          </w:p>
        </w:tc>
        <w:tc>
          <w:tcPr>
            <w:tcW w:w="1080" w:type="dxa"/>
            <w:vMerge w:val="restart"/>
            <w:tcBorders>
              <w:top w:val="nil"/>
              <w:left w:val="single" w:color="000000" w:sz="8" w:space="0"/>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3</w:t>
            </w:r>
            <w:r>
              <w:rPr>
                <w:rFonts w:hint="eastAsia"/>
                <w:color w:val="000000" w:themeColor="text1"/>
                <w:sz w:val="18"/>
                <w:lang w:val="en-US" w:eastAsia="zh-CN"/>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s="宋体"/>
                <w:color w:val="000000" w:themeColor="text1"/>
                <w:kern w:val="0"/>
                <w:sz w:val="18"/>
                <w:szCs w:val="22"/>
                <w:lang w:val="en-US" w:eastAsia="zh-CN" w:bidi="ar-SA"/>
                <w14:textFill>
                  <w14:solidFill>
                    <w14:schemeClr w14:val="tx1"/>
                  </w14:solidFill>
                </w14:textFill>
              </w:rPr>
              <w:t>32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 xml:space="preserve">0 </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考试</w:t>
            </w:r>
          </w:p>
        </w:tc>
      </w:tr>
      <w:tr>
        <w:tblPrEx>
          <w:tblCellMar>
            <w:top w:w="0" w:type="dxa"/>
            <w:left w:w="108" w:type="dxa"/>
            <w:bottom w:w="0" w:type="dxa"/>
            <w:right w:w="108" w:type="dxa"/>
          </w:tblCellMar>
        </w:tblPrEx>
        <w:trPr>
          <w:trHeight w:val="91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color w:val="000000" w:themeColor="text1"/>
                <w:sz w:val="18"/>
                <w14:textFill>
                  <w14:solidFill>
                    <w14:schemeClr w14:val="tx1"/>
                  </w14:solidFill>
                </w14:textFill>
              </w:rPr>
            </w:pPr>
            <w:r>
              <w:rPr>
                <w:rFonts w:hint="eastAsia"/>
                <w:color w:val="000000" w:themeColor="text1"/>
                <w:sz w:val="18"/>
                <w:lang w:eastAsia="zh-CN"/>
                <w14:textFill>
                  <w14:solidFill>
                    <w14:schemeClr w14:val="tx1"/>
                  </w14:solidFill>
                </w14:textFill>
              </w:rPr>
              <w:t>g</w:t>
            </w:r>
            <w:r>
              <w:rPr>
                <w:rFonts w:hint="eastAsia"/>
                <w:color w:val="000000" w:themeColor="text1"/>
                <w:sz w:val="18"/>
                <w14:textFill>
                  <w14:solidFill>
                    <w14:schemeClr w14:val="tx1"/>
                  </w14:solidFill>
                </w14:textFill>
              </w:rPr>
              <w:t>jc</w:t>
            </w:r>
          </w:p>
          <w:p>
            <w:pPr>
              <w:pStyle w:val="88"/>
              <w:spacing w:line="240" w:lineRule="auto"/>
              <w:jc w:val="center"/>
              <w:rPr>
                <w:rFonts w:hint="eastAsia"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14:textFill>
                  <w14:solidFill>
                    <w14:schemeClr w14:val="tx1"/>
                  </w14:solidFill>
                </w14:textFill>
              </w:rPr>
              <w:t>0111</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14:textFill>
                  <w14:solidFill>
                    <w14:schemeClr w14:val="tx1"/>
                  </w14:solidFill>
                </w14:textFill>
              </w:rPr>
              <w:t>高等数学</w:t>
            </w:r>
          </w:p>
        </w:tc>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3</w:t>
            </w:r>
            <w:r>
              <w:rPr>
                <w:rFonts w:hint="eastAsia"/>
                <w:color w:val="000000" w:themeColor="text1"/>
                <w:sz w:val="18"/>
                <w:lang w:val="en-US" w:eastAsia="zh-CN"/>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32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 xml:space="preserve">0 </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考试</w:t>
            </w:r>
          </w:p>
        </w:tc>
      </w:tr>
      <w:tr>
        <w:tblPrEx>
          <w:tblCellMar>
            <w:top w:w="0" w:type="dxa"/>
            <w:left w:w="108" w:type="dxa"/>
            <w:bottom w:w="0" w:type="dxa"/>
            <w:right w:w="108" w:type="dxa"/>
          </w:tblCellMar>
        </w:tblPrEx>
        <w:trPr>
          <w:trHeight w:val="91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gjc0120</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lang w:eastAsia="zh-CN"/>
                <w14:textFill>
                  <w14:solidFill>
                    <w14:schemeClr w14:val="tx1"/>
                  </w14:solidFill>
                </w14:textFill>
              </w:rPr>
              <w:t>习近平新时代中国特色社会主义思想概论</w:t>
            </w:r>
          </w:p>
        </w:tc>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1.5</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24</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19</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5</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考试</w:t>
            </w:r>
          </w:p>
        </w:tc>
      </w:tr>
      <w:tr>
        <w:tblPrEx>
          <w:tblCellMar>
            <w:top w:w="0" w:type="dxa"/>
            <w:left w:w="108" w:type="dxa"/>
            <w:bottom w:w="0" w:type="dxa"/>
            <w:right w:w="108" w:type="dxa"/>
          </w:tblCellMar>
        </w:tblPrEx>
        <w:trPr>
          <w:trHeight w:val="300"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gjc0106</w:t>
            </w:r>
          </w:p>
        </w:tc>
        <w:tc>
          <w:tcPr>
            <w:tcW w:w="1080" w:type="dxa"/>
            <w:tcBorders>
              <w:top w:val="nil"/>
              <w:left w:val="nil"/>
              <w:bottom w:val="single" w:color="000000" w:sz="8" w:space="0"/>
              <w:right w:val="single" w:color="000000" w:sz="8" w:space="0"/>
            </w:tcBorders>
            <w:shd w:val="clear" w:color="auto" w:fill="FFFFFF"/>
            <w:vAlign w:val="bottom"/>
          </w:tcPr>
          <w:p>
            <w:pPr>
              <w:keepNext w:val="0"/>
              <w:keepLines w:val="0"/>
              <w:widowControl/>
              <w:suppressLineNumbers w:val="0"/>
              <w:spacing w:line="240" w:lineRule="auto"/>
              <w:jc w:val="center"/>
              <w:textAlignment w:val="bottom"/>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color w:val="000000" w:themeColor="text1"/>
                <w:kern w:val="0"/>
                <w:sz w:val="18"/>
                <w:szCs w:val="22"/>
                <w:lang w:val="en-US" w:eastAsia="zh-CN" w:bidi="ar-SA"/>
                <w14:textFill>
                  <w14:solidFill>
                    <w14:schemeClr w14:val="tx1"/>
                  </w14:solidFill>
                </w14:textFill>
              </w:rPr>
              <w:t>形势与政策</w:t>
            </w:r>
          </w:p>
        </w:tc>
        <w:tc>
          <w:tcPr>
            <w:tcW w:w="1080" w:type="dxa"/>
            <w:vMerge w:val="continue"/>
            <w:tcBorders>
              <w:top w:val="nil"/>
              <w:left w:val="single" w:color="000000" w:sz="8" w:space="0"/>
              <w:bottom w:val="single" w:color="auto" w:sz="4"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0.25</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8</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8</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0</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2（4周）</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14:textFill>
                  <w14:solidFill>
                    <w14:schemeClr w14:val="tx1"/>
                  </w14:solidFill>
                </w14:textFill>
              </w:rPr>
              <w:t>公共基础</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考查</w:t>
            </w:r>
          </w:p>
        </w:tc>
      </w:tr>
      <w:tr>
        <w:tblPrEx>
          <w:tblCellMar>
            <w:top w:w="0" w:type="dxa"/>
            <w:left w:w="108" w:type="dxa"/>
            <w:bottom w:w="0" w:type="dxa"/>
            <w:right w:w="108" w:type="dxa"/>
          </w:tblCellMar>
        </w:tblPrEx>
        <w:trPr>
          <w:trHeight w:val="465" w:hRule="atLeast"/>
        </w:trPr>
        <w:tc>
          <w:tcPr>
            <w:tcW w:w="1080" w:type="dxa"/>
            <w:vMerge w:val="continue"/>
            <w:tcBorders>
              <w:top w:val="nil"/>
              <w:left w:val="single" w:color="000000" w:sz="8" w:space="0"/>
              <w:bottom w:val="single" w:color="auto" w:sz="4"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FF0000"/>
                <w:sz w:val="18"/>
                <w:szCs w:val="18"/>
              </w:rPr>
            </w:pPr>
            <w:r>
              <w:rPr>
                <w:rFonts w:ascii="宋体" w:hAnsi="宋体" w:eastAsia="宋体" w:cs="宋体"/>
                <w:color w:val="000000"/>
                <w:kern w:val="0"/>
                <w:sz w:val="18"/>
                <w:szCs w:val="18"/>
              </w:rPr>
              <w:t>G</w:t>
            </w:r>
            <w:r>
              <w:rPr>
                <w:rFonts w:hint="eastAsia" w:ascii="宋体" w:hAnsi="宋体" w:eastAsia="宋体" w:cs="宋体"/>
                <w:color w:val="000000"/>
                <w:kern w:val="0"/>
                <w:sz w:val="18"/>
                <w:szCs w:val="18"/>
              </w:rPr>
              <w:t>jq0203</w:t>
            </w: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液压与气动技术</w:t>
            </w:r>
          </w:p>
        </w:tc>
        <w:tc>
          <w:tcPr>
            <w:tcW w:w="1080" w:type="dxa"/>
            <w:vMerge w:val="restart"/>
            <w:tcBorders>
              <w:top w:val="single" w:color="auto" w:sz="4" w:space="0"/>
              <w:left w:val="single" w:color="000000" w:sz="8" w:space="0"/>
              <w:bottom w:val="single" w:color="auto" w:sz="4" w:space="0"/>
              <w:right w:val="single" w:color="000000" w:sz="8" w:space="0"/>
            </w:tcBorders>
            <w:shd w:val="clear" w:color="auto" w:fill="FFFFFF"/>
            <w:vAlign w:val="center"/>
          </w:tcPr>
          <w:p>
            <w:pPr>
              <w:spacing w:line="240" w:lineRule="auto"/>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选修</w:t>
            </w: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rPr>
              <w:t>4</w:t>
            </w: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72</w:t>
            </w: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24</w:t>
            </w: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48</w:t>
            </w: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rPr>
              <w:t>4</w:t>
            </w: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专业拓展</w:t>
            </w:r>
          </w:p>
        </w:tc>
        <w:tc>
          <w:tcPr>
            <w:tcW w:w="1080" w:type="dxa"/>
            <w:tcBorders>
              <w:top w:val="nil"/>
              <w:left w:val="nil"/>
              <w:bottom w:val="single" w:color="auto" w:sz="4"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trHeight w:val="465" w:hRule="atLeast"/>
        </w:trPr>
        <w:tc>
          <w:tcPr>
            <w:tcW w:w="1080" w:type="dxa"/>
            <w:vMerge w:val="continue"/>
            <w:tcBorders>
              <w:top w:val="single" w:color="auto" w:sz="4"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single" w:color="auto" w:sz="4" w:space="0"/>
              <w:left w:val="nil"/>
              <w:bottom w:val="single" w:color="000000" w:sz="8" w:space="0"/>
              <w:right w:val="single" w:color="000000" w:sz="8" w:space="0"/>
            </w:tcBorders>
            <w:shd w:val="clear" w:color="auto" w:fill="auto"/>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gdq0402</w:t>
            </w:r>
          </w:p>
        </w:tc>
        <w:tc>
          <w:tcPr>
            <w:tcW w:w="1080" w:type="dxa"/>
            <w:tcBorders>
              <w:top w:val="single" w:color="auto" w:sz="4" w:space="0"/>
              <w:left w:val="nil"/>
              <w:bottom w:val="single" w:color="auto" w:sz="4" w:space="0"/>
              <w:right w:val="single" w:color="000000" w:sz="8" w:space="0"/>
            </w:tcBorders>
            <w:shd w:val="clear" w:color="auto" w:fill="auto"/>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过程控制系统</w:t>
            </w:r>
          </w:p>
        </w:tc>
        <w:tc>
          <w:tcPr>
            <w:tcW w:w="1080" w:type="dxa"/>
            <w:vMerge w:val="continue"/>
            <w:tcBorders>
              <w:top w:val="single" w:color="auto" w:sz="4" w:space="0"/>
              <w:left w:val="single" w:color="000000" w:sz="8" w:space="0"/>
              <w:bottom w:val="single" w:color="auto" w:sz="4" w:space="0"/>
              <w:right w:val="single" w:color="000000" w:sz="8" w:space="0"/>
            </w:tcBorders>
            <w:shd w:val="clear" w:color="auto" w:fill="FFFFFF"/>
            <w:vAlign w:val="center"/>
          </w:tcPr>
          <w:p>
            <w:pPr>
              <w:spacing w:line="240" w:lineRule="auto"/>
              <w:jc w:val="center"/>
              <w:rPr>
                <w:rFonts w:ascii="宋体" w:hAnsi="宋体" w:eastAsia="宋体" w:cs="宋体"/>
                <w:color w:val="000000"/>
                <w:szCs w:val="21"/>
              </w:rPr>
            </w:pPr>
          </w:p>
        </w:tc>
        <w:tc>
          <w:tcPr>
            <w:tcW w:w="1080" w:type="dxa"/>
            <w:tcBorders>
              <w:top w:val="single" w:color="auto" w:sz="4"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single" w:color="auto" w:sz="4"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single" w:color="auto" w:sz="4"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24</w:t>
            </w:r>
          </w:p>
        </w:tc>
        <w:tc>
          <w:tcPr>
            <w:tcW w:w="1080" w:type="dxa"/>
            <w:tcBorders>
              <w:top w:val="single" w:color="auto" w:sz="4"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48</w:t>
            </w:r>
          </w:p>
        </w:tc>
        <w:tc>
          <w:tcPr>
            <w:tcW w:w="1080" w:type="dxa"/>
            <w:tcBorders>
              <w:top w:val="single" w:color="auto" w:sz="4"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single" w:color="auto" w:sz="4"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专业</w:t>
            </w:r>
            <w:r>
              <w:rPr>
                <w:rFonts w:hint="eastAsia" w:ascii="宋体" w:hAnsi="宋体" w:eastAsia="宋体" w:cs="宋体"/>
                <w:color w:val="000000"/>
                <w:kern w:val="0"/>
                <w:sz w:val="18"/>
                <w:szCs w:val="18"/>
                <w:lang w:val="en-US" w:eastAsia="zh-CN"/>
              </w:rPr>
              <w:t>拓展</w:t>
            </w:r>
          </w:p>
        </w:tc>
        <w:tc>
          <w:tcPr>
            <w:tcW w:w="1080" w:type="dxa"/>
            <w:tcBorders>
              <w:top w:val="single" w:color="auto" w:sz="4"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color w:val="000000" w:themeColor="text1"/>
                <w:sz w:val="18"/>
                <w:lang w:val="en-US" w:eastAsia="zh-CN"/>
                <w14:textFill>
                  <w14:solidFill>
                    <w14:schemeClr w14:val="tx1"/>
                  </w14:solidFill>
                </w14:textFill>
              </w:rPr>
              <w:t>考查</w:t>
            </w:r>
          </w:p>
        </w:tc>
      </w:tr>
      <w:tr>
        <w:tblPrEx>
          <w:tblCellMar>
            <w:top w:w="0" w:type="dxa"/>
            <w:left w:w="108" w:type="dxa"/>
            <w:bottom w:w="0" w:type="dxa"/>
            <w:right w:w="108" w:type="dxa"/>
          </w:tblCellMar>
        </w:tblPrEx>
        <w:trPr>
          <w:trHeight w:val="300"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gdq0304</w:t>
            </w:r>
          </w:p>
        </w:tc>
        <w:tc>
          <w:tcPr>
            <w:tcW w:w="1080" w:type="dxa"/>
            <w:tcBorders>
              <w:top w:val="single" w:color="auto" w:sz="4" w:space="0"/>
              <w:left w:val="nil"/>
              <w:bottom w:val="single" w:color="000000" w:sz="8" w:space="0"/>
              <w:right w:val="single" w:color="000000" w:sz="8" w:space="0"/>
            </w:tcBorders>
            <w:shd w:val="clear" w:color="auto" w:fill="FFFFFF"/>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电力电子技术</w:t>
            </w:r>
          </w:p>
        </w:tc>
        <w:tc>
          <w:tcPr>
            <w:tcW w:w="1080" w:type="dxa"/>
            <w:vMerge w:val="restart"/>
            <w:tcBorders>
              <w:top w:val="single" w:color="auto" w:sz="4" w:space="0"/>
              <w:left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专业拓展</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690"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FF0000"/>
                <w:sz w:val="18"/>
                <w:szCs w:val="18"/>
              </w:rPr>
            </w:pPr>
            <w:r>
              <w:rPr>
                <w:rFonts w:hint="eastAsia"/>
                <w:sz w:val="18"/>
                <w:szCs w:val="18"/>
              </w:rPr>
              <w:t>zdq0305</w:t>
            </w:r>
          </w:p>
        </w:tc>
        <w:tc>
          <w:tcPr>
            <w:tcW w:w="1080" w:type="dxa"/>
            <w:tcBorders>
              <w:top w:val="nil"/>
              <w:left w:val="nil"/>
              <w:bottom w:val="single" w:color="000000" w:sz="8" w:space="0"/>
              <w:right w:val="single" w:color="000000" w:sz="8" w:space="0"/>
            </w:tcBorders>
            <w:shd w:val="clear" w:color="auto" w:fill="auto"/>
            <w:vAlign w:val="center"/>
          </w:tcPr>
          <w:p>
            <w:pPr>
              <w:autoSpaceDE w:val="0"/>
              <w:autoSpaceDN w:val="0"/>
              <w:spacing w:line="240"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发电厂变电站电气设备</w:t>
            </w:r>
          </w:p>
        </w:tc>
        <w:tc>
          <w:tcPr>
            <w:tcW w:w="1080" w:type="dxa"/>
            <w:vMerge w:val="continue"/>
            <w:tcBorders>
              <w:top w:val="single" w:color="auto" w:sz="4" w:space="0"/>
              <w:left w:val="single" w:color="000000" w:sz="8" w:space="0"/>
              <w:bottom w:val="single" w:color="auto" w:sz="4" w:space="0"/>
              <w:right w:val="single" w:color="000000" w:sz="8" w:space="0"/>
            </w:tcBorders>
            <w:shd w:val="clear" w:color="auto" w:fill="FFFFFF"/>
            <w:vAlign w:val="center"/>
          </w:tcPr>
          <w:p>
            <w:pPr>
              <w:spacing w:line="240" w:lineRule="auto"/>
              <w:jc w:val="center"/>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专业拓展</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gdq0202</w:t>
            </w:r>
          </w:p>
        </w:tc>
        <w:tc>
          <w:tcPr>
            <w:tcW w:w="1080" w:type="dxa"/>
            <w:tcBorders>
              <w:top w:val="nil"/>
              <w:left w:val="nil"/>
              <w:bottom w:val="single" w:color="000000" w:sz="8" w:space="0"/>
              <w:right w:val="single" w:color="000000" w:sz="8" w:space="0"/>
            </w:tcBorders>
            <w:shd w:val="clear" w:color="auto" w:fill="FFFFFF"/>
            <w:vAlign w:val="center"/>
          </w:tcPr>
          <w:p>
            <w:pPr>
              <w:autoSpaceDE w:val="0"/>
              <w:autoSpaceDN w:val="0"/>
              <w:spacing w:line="240" w:lineRule="auto"/>
              <w:jc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工厂供配电技术</w:t>
            </w:r>
          </w:p>
        </w:tc>
        <w:tc>
          <w:tcPr>
            <w:tcW w:w="1080" w:type="dxa"/>
            <w:vMerge w:val="continue"/>
            <w:tcBorders>
              <w:top w:val="single" w:color="auto" w:sz="4" w:space="0"/>
              <w:left w:val="single" w:color="000000" w:sz="8" w:space="0"/>
              <w:bottom w:val="single" w:color="auto" w:sz="4" w:space="0"/>
              <w:right w:val="single" w:color="000000" w:sz="8" w:space="0"/>
            </w:tcBorders>
            <w:shd w:val="clear" w:color="auto" w:fill="FFFFFF"/>
            <w:vAlign w:val="center"/>
          </w:tcPr>
          <w:p>
            <w:pPr>
              <w:spacing w:line="240" w:lineRule="auto"/>
              <w:jc w:val="center"/>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专业基础</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考查</w:t>
            </w:r>
          </w:p>
        </w:tc>
      </w:tr>
      <w:tr>
        <w:tblPrEx>
          <w:tblCellMar>
            <w:top w:w="0" w:type="dxa"/>
            <w:left w:w="108" w:type="dxa"/>
            <w:bottom w:w="0" w:type="dxa"/>
            <w:right w:w="108" w:type="dxa"/>
          </w:tblCellMar>
        </w:tblPrEx>
        <w:trPr>
          <w:trHeight w:val="690"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gjq0204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电机与电气控制技术</w:t>
            </w:r>
          </w:p>
        </w:tc>
        <w:tc>
          <w:tcPr>
            <w:tcW w:w="1080" w:type="dxa"/>
            <w:vMerge w:val="continue"/>
            <w:tcBorders>
              <w:top w:val="single" w:color="auto" w:sz="4" w:space="0"/>
              <w:left w:val="single" w:color="000000" w:sz="8" w:space="0"/>
              <w:bottom w:val="single" w:color="auto" w:sz="4" w:space="0"/>
              <w:right w:val="single" w:color="000000" w:sz="8" w:space="0"/>
            </w:tcBorders>
            <w:shd w:val="clear" w:color="auto" w:fill="FFFFFF"/>
            <w:vAlign w:val="center"/>
          </w:tcPr>
          <w:p>
            <w:pPr>
              <w:spacing w:line="240" w:lineRule="auto"/>
              <w:jc w:val="center"/>
              <w:rPr>
                <w:rFonts w:ascii="宋体" w:hAnsi="宋体" w:eastAsia="宋体" w:cs="宋体"/>
                <w:color w:val="000000"/>
                <w:szCs w:val="21"/>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72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18</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4</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专业核心</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pStyle w:val="88"/>
              <w:spacing w:line="240" w:lineRule="auto"/>
              <w:jc w:val="center"/>
              <w:rPr>
                <w:color w:val="000000" w:themeColor="text1"/>
                <w:sz w:val="18"/>
                <w14:textFill>
                  <w14:solidFill>
                    <w14:schemeClr w14:val="tx1"/>
                  </w14:solidFill>
                </w14:textFill>
              </w:rPr>
            </w:pPr>
            <w:r>
              <w:rPr>
                <w:rFonts w:hint="eastAsia"/>
                <w:color w:val="000000" w:themeColor="text1"/>
                <w:sz w:val="18"/>
                <w:lang w:eastAsia="zh-CN"/>
                <w14:textFill>
                  <w14:solidFill>
                    <w14:schemeClr w14:val="tx1"/>
                  </w14:solidFill>
                </w14:textFill>
              </w:rPr>
              <w:t>g</w:t>
            </w:r>
            <w:r>
              <w:rPr>
                <w:rFonts w:hint="eastAsia"/>
                <w:color w:val="000000" w:themeColor="text1"/>
                <w:sz w:val="18"/>
                <w14:textFill>
                  <w14:solidFill>
                    <w14:schemeClr w14:val="tx1"/>
                  </w14:solidFill>
                </w14:textFill>
              </w:rPr>
              <w:t>jc</w:t>
            </w:r>
          </w:p>
          <w:p>
            <w:pPr>
              <w:pStyle w:val="88"/>
              <w:spacing w:line="240" w:lineRule="auto"/>
              <w:jc w:val="center"/>
              <w:rPr>
                <w:rFonts w:hint="eastAsia"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14:textFill>
                  <w14:solidFill>
                    <w14:schemeClr w14:val="tx1"/>
                  </w14:solidFill>
                </w14:textFill>
              </w:rPr>
              <w:t>0119</w:t>
            </w:r>
          </w:p>
        </w:tc>
        <w:tc>
          <w:tcPr>
            <w:tcW w:w="1080"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line="240" w:lineRule="auto"/>
              <w:jc w:val="center"/>
              <w:textAlignment w:val="bottom"/>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color w:val="000000" w:themeColor="text1"/>
                <w:kern w:val="0"/>
                <w:sz w:val="18"/>
                <w:szCs w:val="18"/>
                <w:lang w:val="en-US" w:eastAsia="zh-CN"/>
                <w14:textFill>
                  <w14:solidFill>
                    <w14:schemeClr w14:val="tx1"/>
                  </w14:solidFill>
                </w14:textFill>
              </w:rPr>
              <w:t>音乐鉴赏</w:t>
            </w:r>
          </w:p>
        </w:tc>
        <w:tc>
          <w:tcPr>
            <w:tcW w:w="1080" w:type="dxa"/>
            <w:vMerge w:val="restart"/>
            <w:tcBorders>
              <w:top w:val="single" w:color="auto" w:sz="4" w:space="0"/>
              <w:left w:val="single" w:color="000000" w:sz="8" w:space="0"/>
              <w:right w:val="single" w:color="000000" w:sz="8" w:space="0"/>
            </w:tcBorders>
            <w:shd w:val="clear" w:color="auto" w:fill="FFFFFF"/>
            <w:vAlign w:val="center"/>
          </w:tcPr>
          <w:p>
            <w:pPr>
              <w:pStyle w:val="88"/>
              <w:spacing w:line="240" w:lineRule="auto"/>
              <w:jc w:val="center"/>
              <w:rPr>
                <w:rFonts w:ascii="宋体" w:hAnsi="宋体" w:eastAsia="宋体" w:cs="宋体"/>
                <w:color w:val="000000"/>
                <w:sz w:val="18"/>
                <w:szCs w:val="18"/>
              </w:rPr>
            </w:pPr>
            <w:r>
              <w:rPr>
                <w:rFonts w:hint="eastAsia"/>
                <w:color w:val="000000" w:themeColor="text1"/>
                <w:sz w:val="18"/>
                <w14:textFill>
                  <w14:solidFill>
                    <w14:schemeClr w14:val="tx1"/>
                  </w14:solidFill>
                </w14:textFill>
              </w:rPr>
              <w:t>选修</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32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32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0</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eastAsia="zh-CN"/>
                <w14:textFill>
                  <w14:solidFill>
                    <w14:schemeClr w14:val="tx1"/>
                  </w14:solidFill>
                </w14:textFill>
              </w:rPr>
              <w:t>2</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zh-CN" w:eastAsia="zh-CN" w:bidi="ar-SA"/>
                <w14:textFill>
                  <w14:solidFill>
                    <w14:schemeClr w14:val="tx1"/>
                  </w14:solidFill>
                </w14:textFill>
              </w:rPr>
            </w:pPr>
            <w:r>
              <w:rPr>
                <w:rFonts w:hint="eastAsia"/>
                <w:color w:val="000000" w:themeColor="text1"/>
                <w:sz w:val="18"/>
                <w14:textFill>
                  <w14:solidFill>
                    <w14:schemeClr w14:val="tx1"/>
                  </w14:solidFill>
                </w14:textFill>
              </w:rPr>
              <w:t>公共选修</w:t>
            </w:r>
          </w:p>
        </w:tc>
        <w:tc>
          <w:tcPr>
            <w:tcW w:w="1080" w:type="dxa"/>
            <w:tcBorders>
              <w:top w:val="nil"/>
              <w:left w:val="nil"/>
              <w:bottom w:val="single" w:color="000000" w:sz="8" w:space="0"/>
              <w:right w:val="single" w:color="000000" w:sz="8" w:space="0"/>
            </w:tcBorders>
            <w:shd w:val="clear" w:color="auto" w:fill="FFFFFF"/>
            <w:vAlign w:val="center"/>
          </w:tcPr>
          <w:p>
            <w:pPr>
              <w:pStyle w:val="88"/>
              <w:spacing w:line="240" w:lineRule="auto"/>
              <w:jc w:val="center"/>
              <w:rPr>
                <w:rFonts w:hint="eastAsia" w:ascii="宋体" w:hAnsi="宋体" w:eastAsia="宋体" w:cs="宋体"/>
                <w:color w:val="000000" w:themeColor="text1"/>
                <w:kern w:val="0"/>
                <w:sz w:val="18"/>
                <w:szCs w:val="22"/>
                <w:lang w:val="en-US" w:eastAsia="zh-CN" w:bidi="ar-SA"/>
                <w14:textFill>
                  <w14:solidFill>
                    <w14:schemeClr w14:val="tx1"/>
                  </w14:solidFill>
                </w14:textFill>
              </w:rPr>
            </w:pPr>
            <w:r>
              <w:rPr>
                <w:rFonts w:hint="eastAsia"/>
                <w:color w:val="000000" w:themeColor="text1"/>
                <w:sz w:val="18"/>
                <w:lang w:val="en-US"/>
                <w14:textFill>
                  <w14:solidFill>
                    <w14:schemeClr w14:val="tx1"/>
                  </w14:solidFill>
                </w14:textFill>
              </w:rPr>
              <w:t>考查</w:t>
            </w:r>
          </w:p>
        </w:tc>
      </w:tr>
      <w:tr>
        <w:tblPrEx>
          <w:tblCellMar>
            <w:top w:w="0" w:type="dxa"/>
            <w:left w:w="108" w:type="dxa"/>
            <w:bottom w:w="0" w:type="dxa"/>
            <w:right w:w="108" w:type="dxa"/>
          </w:tblCellMar>
        </w:tblPrEx>
        <w:trPr>
          <w:trHeight w:val="46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gdq0405</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工厂电气控制技术</w:t>
            </w:r>
          </w:p>
        </w:tc>
        <w:tc>
          <w:tcPr>
            <w:tcW w:w="1080" w:type="dxa"/>
            <w:vMerge w:val="continue"/>
            <w:tcBorders>
              <w:left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10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专业拓展</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gjq0406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color w:val="000000" w:themeColor="text1"/>
                <w:sz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嵌入式控制系统</w:t>
            </w:r>
          </w:p>
        </w:tc>
        <w:tc>
          <w:tcPr>
            <w:tcW w:w="1080" w:type="dxa"/>
            <w:vMerge w:val="continue"/>
            <w:tcBorders>
              <w:left w:val="single" w:color="000000" w:sz="8" w:space="0"/>
              <w:bottom w:val="single" w:color="auto" w:sz="4"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36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10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26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专业拓展</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考试</w:t>
            </w:r>
          </w:p>
        </w:tc>
      </w:tr>
      <w:tr>
        <w:tblPrEx>
          <w:tblCellMar>
            <w:top w:w="0" w:type="dxa"/>
            <w:left w:w="108" w:type="dxa"/>
            <w:bottom w:w="0" w:type="dxa"/>
            <w:right w:w="108" w:type="dxa"/>
          </w:tblCellMar>
        </w:tblPrEx>
        <w:trPr>
          <w:trHeight w:val="46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电工技能实训</w:t>
            </w:r>
          </w:p>
        </w:tc>
        <w:tc>
          <w:tcPr>
            <w:tcW w:w="1080" w:type="dxa"/>
            <w:tcBorders>
              <w:top w:val="single" w:color="auto" w:sz="4" w:space="0"/>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50</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专业实训</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考查</w:t>
            </w:r>
          </w:p>
        </w:tc>
      </w:tr>
      <w:tr>
        <w:tblPrEx>
          <w:tblCellMar>
            <w:top w:w="0" w:type="dxa"/>
            <w:left w:w="108" w:type="dxa"/>
            <w:bottom w:w="0" w:type="dxa"/>
            <w:right w:w="108" w:type="dxa"/>
          </w:tblCellMar>
        </w:tblPrEx>
        <w:trPr>
          <w:trHeight w:val="285" w:hRule="atLeast"/>
        </w:trPr>
        <w:tc>
          <w:tcPr>
            <w:tcW w:w="1080" w:type="dxa"/>
            <w:vMerge w:val="continue"/>
            <w:tcBorders>
              <w:top w:val="nil"/>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合计</w:t>
            </w: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themeColor="text1"/>
                <w:sz w:val="18"/>
                <w:szCs w:val="18"/>
                <w14:textFill>
                  <w14:solidFill>
                    <w14:schemeClr w14:val="tx1"/>
                  </w14:solidFill>
                </w14:textFill>
              </w:rPr>
            </w:pP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29.75</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544</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239</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rPr>
              <w:t>305</w:t>
            </w:r>
          </w:p>
        </w:tc>
        <w:tc>
          <w:tcPr>
            <w:tcW w:w="1080" w:type="dxa"/>
            <w:tcBorders>
              <w:top w:val="nil"/>
              <w:left w:val="nil"/>
              <w:bottom w:val="single" w:color="000000" w:sz="8" w:space="0"/>
              <w:right w:val="single" w:color="000000" w:sz="8" w:space="0"/>
            </w:tcBorders>
            <w:shd w:val="clear" w:color="auto" w:fill="FFFFFF"/>
            <w:vAlign w:val="center"/>
          </w:tcPr>
          <w:p>
            <w:pPr>
              <w:widowControl/>
              <w:spacing w:line="240" w:lineRule="auto"/>
              <w:jc w:val="center"/>
              <w:textAlignment w:val="center"/>
              <w:rPr>
                <w:rFonts w:hint="eastAsia" w:ascii="宋体" w:hAnsi="宋体" w:eastAsia="宋体" w:cs="宋体"/>
                <w:color w:val="000000"/>
                <w:sz w:val="18"/>
                <w:szCs w:val="18"/>
                <w:lang w:val="en-US" w:eastAsia="zh-CN"/>
              </w:rPr>
            </w:pPr>
            <w:r>
              <w:rPr>
                <w:rFonts w:hint="eastAsia" w:ascii="宋体" w:hAnsi="宋体" w:eastAsia="宋体" w:cs="宋体"/>
                <w:color w:val="000000"/>
                <w:kern w:val="0"/>
                <w:sz w:val="18"/>
                <w:szCs w:val="18"/>
              </w:rPr>
              <w:t>3</w:t>
            </w:r>
            <w:r>
              <w:rPr>
                <w:rFonts w:hint="eastAsia" w:ascii="宋体" w:hAnsi="宋体" w:eastAsia="宋体" w:cs="宋体"/>
                <w:color w:val="000000"/>
                <w:kern w:val="0"/>
                <w:sz w:val="18"/>
                <w:szCs w:val="18"/>
                <w:lang w:val="en-US" w:eastAsia="zh-CN"/>
              </w:rPr>
              <w:t>2</w:t>
            </w:r>
          </w:p>
        </w:tc>
        <w:tc>
          <w:tcPr>
            <w:tcW w:w="1080" w:type="dxa"/>
            <w:tcBorders>
              <w:top w:val="nil"/>
              <w:left w:val="nil"/>
              <w:bottom w:val="single" w:color="000000" w:sz="8" w:space="0"/>
              <w:right w:val="single" w:color="000000" w:sz="8" w:space="0"/>
            </w:tcBorders>
            <w:shd w:val="clear" w:color="auto" w:fill="FFFFFF"/>
            <w:vAlign w:val="center"/>
          </w:tcPr>
          <w:p>
            <w:pPr>
              <w:spacing w:line="240" w:lineRule="auto"/>
              <w:jc w:val="center"/>
              <w:rPr>
                <w:rFonts w:ascii="等线" w:hAnsi="等线" w:eastAsia="等线" w:cs="等线"/>
                <w:color w:val="000000"/>
                <w:sz w:val="18"/>
                <w:szCs w:val="18"/>
              </w:rPr>
            </w:pPr>
          </w:p>
        </w:tc>
        <w:tc>
          <w:tcPr>
            <w:tcW w:w="108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40" w:lineRule="auto"/>
              <w:jc w:val="center"/>
              <w:rPr>
                <w:rFonts w:ascii="宋体" w:hAnsi="宋体" w:eastAsia="宋体" w:cs="宋体"/>
                <w:color w:val="000000"/>
                <w:sz w:val="18"/>
                <w:szCs w:val="18"/>
              </w:rPr>
            </w:pPr>
          </w:p>
        </w:tc>
      </w:tr>
      <w:tr>
        <w:tblPrEx>
          <w:tblCellMar>
            <w:top w:w="0" w:type="dxa"/>
            <w:left w:w="108" w:type="dxa"/>
            <w:bottom w:w="0" w:type="dxa"/>
            <w:right w:w="108" w:type="dxa"/>
          </w:tblCellMar>
        </w:tblPrEx>
        <w:trPr>
          <w:trHeight w:val="46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第九学期（20周）</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gjy0502</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14:textFill>
                  <w14:solidFill>
                    <w14:schemeClr w14:val="tx1"/>
                  </w14:solidFill>
                </w14:textFill>
              </w:rPr>
              <w:t>毕业实习</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27</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648</w:t>
            </w: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648</w:t>
            </w:r>
          </w:p>
        </w:tc>
        <w:tc>
          <w:tcPr>
            <w:tcW w:w="1080" w:type="dxa"/>
            <w:tcBorders>
              <w:top w:val="nil"/>
              <w:left w:val="nil"/>
              <w:bottom w:val="single" w:color="000000" w:sz="8" w:space="0"/>
              <w:right w:val="single" w:color="000000" w:sz="8" w:space="0"/>
            </w:tcBorders>
            <w:shd w:val="clear" w:color="auto" w:fill="auto"/>
            <w:vAlign w:val="center"/>
          </w:tcPr>
          <w:p>
            <w:pPr>
              <w:spacing w:line="240" w:lineRule="auto"/>
              <w:jc w:val="center"/>
              <w:rPr>
                <w:rFonts w:ascii="宋体" w:hAnsi="宋体" w:eastAsia="宋体" w:cs="宋体"/>
                <w:color w:val="000000"/>
                <w:sz w:val="18"/>
                <w:szCs w:val="18"/>
              </w:rPr>
            </w:pPr>
          </w:p>
        </w:tc>
        <w:tc>
          <w:tcPr>
            <w:tcW w:w="1080" w:type="dxa"/>
            <w:tcBorders>
              <w:top w:val="nil"/>
              <w:left w:val="nil"/>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27 周</w:t>
            </w:r>
          </w:p>
        </w:tc>
        <w:tc>
          <w:tcPr>
            <w:tcW w:w="1080" w:type="dxa"/>
            <w:tcBorders>
              <w:top w:val="nil"/>
              <w:left w:val="nil"/>
              <w:bottom w:val="single" w:color="000000" w:sz="8" w:space="0"/>
              <w:right w:val="nil"/>
            </w:tcBorders>
            <w:shd w:val="clear" w:color="auto" w:fill="auto"/>
            <w:vAlign w:val="center"/>
          </w:tcPr>
          <w:p>
            <w:pPr>
              <w:spacing w:line="240" w:lineRule="auto"/>
              <w:jc w:val="center"/>
              <w:rPr>
                <w:rFonts w:ascii="宋体" w:hAnsi="宋体" w:eastAsia="宋体" w:cs="宋体"/>
                <w:color w:val="000000"/>
                <w:sz w:val="18"/>
                <w:szCs w:val="18"/>
              </w:rPr>
            </w:pPr>
          </w:p>
        </w:tc>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line="240" w:lineRule="auto"/>
              <w:jc w:val="center"/>
              <w:textAlignment w:val="center"/>
              <w:rPr>
                <w:rFonts w:ascii="宋体" w:hAnsi="宋体" w:eastAsia="宋体" w:cs="宋体"/>
                <w:color w:val="000000"/>
                <w:sz w:val="18"/>
                <w:szCs w:val="18"/>
              </w:rPr>
            </w:pPr>
            <w:r>
              <w:rPr>
                <w:rFonts w:hint="eastAsia" w:ascii="宋体" w:hAnsi="宋体" w:eastAsia="宋体" w:cs="宋体"/>
                <w:color w:val="000000"/>
                <w:kern w:val="0"/>
                <w:sz w:val="18"/>
                <w:szCs w:val="18"/>
              </w:rPr>
              <w:t>考查</w:t>
            </w:r>
          </w:p>
        </w:tc>
      </w:tr>
    </w:tbl>
    <w:p>
      <w:pPr>
        <w:widowControl/>
        <w:spacing w:line="400" w:lineRule="exact"/>
        <w:rPr>
          <w:rFonts w:asciiTheme="minorEastAsia" w:hAnsiTheme="minorEastAsia"/>
          <w:b/>
          <w:sz w:val="28"/>
        </w:rPr>
      </w:pPr>
    </w:p>
    <w:p>
      <w:pPr>
        <w:spacing w:line="400" w:lineRule="exact"/>
        <w:rPr>
          <w:rFonts w:asciiTheme="minorEastAsia" w:hAnsiTheme="minorEastAsia"/>
          <w:b/>
          <w:bCs/>
          <w:sz w:val="28"/>
        </w:rPr>
      </w:pPr>
      <w:r>
        <w:rPr>
          <w:rFonts w:hint="eastAsia" w:asciiTheme="minorEastAsia" w:hAnsiTheme="minorEastAsia"/>
          <w:b/>
          <w:bCs/>
          <w:sz w:val="28"/>
        </w:rPr>
        <w:t>附件三：</w:t>
      </w:r>
    </w:p>
    <w:p>
      <w:pPr>
        <w:widowControl/>
        <w:spacing w:line="400" w:lineRule="exact"/>
        <w:rPr>
          <w:rFonts w:asciiTheme="minorEastAsia" w:hAnsiTheme="minorEastAsia"/>
          <w:b/>
          <w:sz w:val="28"/>
        </w:rPr>
      </w:pPr>
      <w:r>
        <w:rPr>
          <w:rFonts w:hint="eastAsia" w:asciiTheme="minorEastAsia" w:hAnsiTheme="minorEastAsia"/>
          <w:b/>
          <w:sz w:val="28"/>
        </w:rPr>
        <w:t>实践教学环节安排表</w:t>
      </w:r>
    </w:p>
    <w:tbl>
      <w:tblPr>
        <w:tblStyle w:val="17"/>
        <w:tblW w:w="5000" w:type="pct"/>
        <w:tblInd w:w="0" w:type="dxa"/>
        <w:tblLayout w:type="autofit"/>
        <w:tblCellMar>
          <w:top w:w="0" w:type="dxa"/>
          <w:left w:w="108" w:type="dxa"/>
          <w:bottom w:w="0" w:type="dxa"/>
          <w:right w:w="108" w:type="dxa"/>
        </w:tblCellMar>
      </w:tblPr>
      <w:tblGrid>
        <w:gridCol w:w="2024"/>
        <w:gridCol w:w="2025"/>
        <w:gridCol w:w="2025"/>
        <w:gridCol w:w="2025"/>
        <w:gridCol w:w="2025"/>
        <w:gridCol w:w="2025"/>
        <w:gridCol w:w="2025"/>
      </w:tblGrid>
      <w:tr>
        <w:tblPrEx>
          <w:tblCellMar>
            <w:top w:w="0" w:type="dxa"/>
            <w:left w:w="108" w:type="dxa"/>
            <w:bottom w:w="0" w:type="dxa"/>
            <w:right w:w="108" w:type="dxa"/>
          </w:tblCellMar>
        </w:tblPrEx>
        <w:trPr>
          <w:trHeight w:val="450" w:hRule="atLeast"/>
        </w:trPr>
        <w:tc>
          <w:tcPr>
            <w:tcW w:w="714" w:type="pct"/>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714" w:type="pct"/>
            <w:tcBorders>
              <w:top w:val="single" w:color="auto" w:sz="8"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教 学 项 目 内 容</w:t>
            </w:r>
          </w:p>
        </w:tc>
        <w:tc>
          <w:tcPr>
            <w:tcW w:w="714" w:type="pct"/>
            <w:tcBorders>
              <w:top w:val="single" w:color="auto" w:sz="8"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代码</w:t>
            </w:r>
          </w:p>
        </w:tc>
        <w:tc>
          <w:tcPr>
            <w:tcW w:w="714" w:type="pct"/>
            <w:tcBorders>
              <w:top w:val="single" w:color="auto" w:sz="8"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学分</w:t>
            </w:r>
          </w:p>
        </w:tc>
        <w:tc>
          <w:tcPr>
            <w:tcW w:w="714" w:type="pct"/>
            <w:tcBorders>
              <w:top w:val="single" w:color="auto" w:sz="8"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学期</w:t>
            </w:r>
          </w:p>
        </w:tc>
        <w:tc>
          <w:tcPr>
            <w:tcW w:w="714" w:type="pct"/>
            <w:tcBorders>
              <w:top w:val="single" w:color="auto" w:sz="8"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周数</w:t>
            </w:r>
          </w:p>
        </w:tc>
        <w:tc>
          <w:tcPr>
            <w:tcW w:w="714" w:type="pct"/>
            <w:tcBorders>
              <w:top w:val="single" w:color="auto" w:sz="8" w:space="0"/>
              <w:left w:val="nil"/>
              <w:bottom w:val="single" w:color="auto" w:sz="4" w:space="0"/>
              <w:right w:val="single" w:color="auto" w:sz="8"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实 践 场 所</w:t>
            </w:r>
          </w:p>
        </w:tc>
      </w:tr>
      <w:tr>
        <w:tblPrEx>
          <w:tblCellMar>
            <w:top w:w="0" w:type="dxa"/>
            <w:left w:w="108" w:type="dxa"/>
            <w:bottom w:w="0" w:type="dxa"/>
            <w:right w:w="108" w:type="dxa"/>
          </w:tblCellMar>
        </w:tblPrEx>
        <w:trPr>
          <w:trHeight w:val="285"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入学教育</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gjc0100</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校内</w:t>
            </w:r>
          </w:p>
        </w:tc>
      </w:tr>
      <w:tr>
        <w:tblPrEx>
          <w:tblCellMar>
            <w:top w:w="0" w:type="dxa"/>
            <w:left w:w="108" w:type="dxa"/>
            <w:bottom w:w="0" w:type="dxa"/>
            <w:right w:w="108" w:type="dxa"/>
          </w:tblCellMar>
        </w:tblPrEx>
        <w:trPr>
          <w:trHeight w:val="285"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军事技能</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gjc0102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校内</w:t>
            </w:r>
          </w:p>
        </w:tc>
      </w:tr>
      <w:tr>
        <w:tblPrEx>
          <w:tblCellMar>
            <w:top w:w="0" w:type="dxa"/>
            <w:left w:w="108" w:type="dxa"/>
            <w:bottom w:w="0" w:type="dxa"/>
            <w:right w:w="108" w:type="dxa"/>
          </w:tblCellMar>
        </w:tblPrEx>
        <w:trPr>
          <w:trHeight w:val="285"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劳动教育</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gjc0115</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校内</w:t>
            </w:r>
          </w:p>
        </w:tc>
      </w:tr>
      <w:tr>
        <w:tblPrEx>
          <w:tblCellMar>
            <w:top w:w="0" w:type="dxa"/>
            <w:left w:w="108" w:type="dxa"/>
            <w:bottom w:w="0" w:type="dxa"/>
            <w:right w:w="108" w:type="dxa"/>
          </w:tblCellMar>
        </w:tblPrEx>
        <w:trPr>
          <w:trHeight w:val="285"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社会实践</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gjc0116</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一、二</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校外</w:t>
            </w:r>
          </w:p>
        </w:tc>
      </w:tr>
      <w:tr>
        <w:tblPrEx>
          <w:tblCellMar>
            <w:top w:w="0" w:type="dxa"/>
            <w:left w:w="108" w:type="dxa"/>
            <w:bottom w:w="0" w:type="dxa"/>
            <w:right w:w="108" w:type="dxa"/>
          </w:tblCellMar>
        </w:tblPrEx>
        <w:trPr>
          <w:trHeight w:val="450"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电气CAD实训</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gsk0501</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二</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校内计算机房</w:t>
            </w:r>
          </w:p>
        </w:tc>
      </w:tr>
      <w:tr>
        <w:tblPrEx>
          <w:tblCellMar>
            <w:top w:w="0" w:type="dxa"/>
            <w:left w:w="108" w:type="dxa"/>
            <w:bottom w:w="0" w:type="dxa"/>
            <w:right w:w="108" w:type="dxa"/>
          </w:tblCellMar>
        </w:tblPrEx>
        <w:trPr>
          <w:trHeight w:val="285"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电工技能实训</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gsk0502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三</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校内实训室</w:t>
            </w:r>
          </w:p>
        </w:tc>
      </w:tr>
      <w:tr>
        <w:tblPrEx>
          <w:tblCellMar>
            <w:top w:w="0" w:type="dxa"/>
            <w:left w:w="108" w:type="dxa"/>
            <w:bottom w:w="0" w:type="dxa"/>
            <w:right w:w="108" w:type="dxa"/>
          </w:tblCellMar>
        </w:tblPrEx>
        <w:trPr>
          <w:trHeight w:val="450"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sz w:val="18"/>
                <w:szCs w:val="18"/>
              </w:rPr>
              <w:t>单片机原理及应用实训</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gsk0503</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四</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校内实训室</w:t>
            </w:r>
          </w:p>
        </w:tc>
      </w:tr>
      <w:tr>
        <w:tblPrEx>
          <w:tblCellMar>
            <w:top w:w="0" w:type="dxa"/>
            <w:left w:w="108" w:type="dxa"/>
            <w:bottom w:w="0" w:type="dxa"/>
            <w:right w:w="108" w:type="dxa"/>
          </w:tblCellMar>
        </w:tblPrEx>
        <w:trPr>
          <w:trHeight w:val="450"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工学结合，跟岗实习</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gsk0504</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2</w:t>
            </w:r>
            <w:r>
              <w:rPr>
                <w:rFonts w:hint="eastAsia" w:ascii="宋体" w:hAnsi="宋体" w:eastAsia="宋体" w:cs="宋体"/>
                <w:color w:val="000000"/>
                <w:kern w:val="0"/>
                <w:sz w:val="18"/>
                <w:szCs w:val="18"/>
                <w:lang w:val="en-US" w:eastAsia="zh-CN"/>
              </w:rPr>
              <w:t>7</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九</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20</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校外实习基地</w:t>
            </w:r>
          </w:p>
        </w:tc>
      </w:tr>
      <w:tr>
        <w:tblPrEx>
          <w:tblCellMar>
            <w:top w:w="0" w:type="dxa"/>
            <w:left w:w="108" w:type="dxa"/>
            <w:bottom w:w="0" w:type="dxa"/>
            <w:right w:w="108" w:type="dxa"/>
          </w:tblCellMar>
        </w:tblPrEx>
        <w:trPr>
          <w:trHeight w:val="450"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电工实训考证</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gsk0505</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六</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校内外实习基地</w:t>
            </w:r>
          </w:p>
        </w:tc>
      </w:tr>
      <w:tr>
        <w:tblPrEx>
          <w:tblCellMar>
            <w:top w:w="0" w:type="dxa"/>
            <w:left w:w="108" w:type="dxa"/>
            <w:bottom w:w="0" w:type="dxa"/>
            <w:right w:w="108" w:type="dxa"/>
          </w:tblCellMar>
        </w:tblPrEx>
        <w:trPr>
          <w:trHeight w:val="450"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PLC实训</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gsk0506</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七</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校内外实习基地</w:t>
            </w:r>
          </w:p>
        </w:tc>
      </w:tr>
      <w:tr>
        <w:tblPrEx>
          <w:tblCellMar>
            <w:top w:w="0" w:type="dxa"/>
            <w:left w:w="108" w:type="dxa"/>
            <w:bottom w:w="0" w:type="dxa"/>
            <w:right w:w="108" w:type="dxa"/>
          </w:tblCellMar>
        </w:tblPrEx>
        <w:trPr>
          <w:trHeight w:val="450"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自动生产线的集成与控制实训</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gsk0507</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八</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校内外实习基地</w:t>
            </w:r>
          </w:p>
        </w:tc>
      </w:tr>
      <w:tr>
        <w:tblPrEx>
          <w:tblCellMar>
            <w:top w:w="0" w:type="dxa"/>
            <w:left w:w="108" w:type="dxa"/>
            <w:bottom w:w="0" w:type="dxa"/>
            <w:right w:w="108" w:type="dxa"/>
          </w:tblCellMar>
        </w:tblPrEx>
        <w:trPr>
          <w:trHeight w:val="450"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顶岗实习</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gjy0502</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27</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九、十</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27</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校外实训基地</w:t>
            </w:r>
          </w:p>
        </w:tc>
      </w:tr>
      <w:tr>
        <w:tblPrEx>
          <w:tblCellMar>
            <w:top w:w="0" w:type="dxa"/>
            <w:left w:w="108" w:type="dxa"/>
            <w:bottom w:w="0" w:type="dxa"/>
            <w:right w:w="108" w:type="dxa"/>
          </w:tblCellMar>
        </w:tblPrEx>
        <w:trPr>
          <w:trHeight w:val="450" w:hRule="atLeast"/>
        </w:trPr>
        <w:tc>
          <w:tcPr>
            <w:tcW w:w="714" w:type="pct"/>
            <w:tcBorders>
              <w:top w:val="nil"/>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毕业实习</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gjy0501</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十</w:t>
            </w:r>
          </w:p>
        </w:tc>
        <w:tc>
          <w:tcPr>
            <w:tcW w:w="714"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13</w:t>
            </w:r>
          </w:p>
        </w:tc>
        <w:tc>
          <w:tcPr>
            <w:tcW w:w="714" w:type="pct"/>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校外实训基地</w:t>
            </w:r>
          </w:p>
        </w:tc>
      </w:tr>
      <w:tr>
        <w:tblPrEx>
          <w:tblCellMar>
            <w:top w:w="0" w:type="dxa"/>
            <w:left w:w="108" w:type="dxa"/>
            <w:bottom w:w="0" w:type="dxa"/>
            <w:right w:w="108" w:type="dxa"/>
          </w:tblCellMar>
        </w:tblPrEx>
        <w:trPr>
          <w:trHeight w:val="300" w:hRule="atLeast"/>
        </w:trPr>
        <w:tc>
          <w:tcPr>
            <w:tcW w:w="714" w:type="pct"/>
            <w:tcBorders>
              <w:top w:val="nil"/>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714" w:type="pct"/>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14" w:type="pct"/>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14" w:type="pct"/>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78</w:t>
            </w:r>
          </w:p>
        </w:tc>
        <w:tc>
          <w:tcPr>
            <w:tcW w:w="714" w:type="pct"/>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14" w:type="pct"/>
            <w:tcBorders>
              <w:top w:val="nil"/>
              <w:left w:val="nil"/>
              <w:bottom w:val="single" w:color="auto" w:sz="8"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78</w:t>
            </w:r>
          </w:p>
        </w:tc>
        <w:tc>
          <w:tcPr>
            <w:tcW w:w="714" w:type="pct"/>
            <w:tcBorders>
              <w:top w:val="nil"/>
              <w:left w:val="nil"/>
              <w:bottom w:val="single" w:color="auto" w:sz="8" w:space="0"/>
              <w:right w:val="single" w:color="auto" w:sz="8"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bl>
    <w:p>
      <w:pPr>
        <w:spacing w:line="400" w:lineRule="exact"/>
        <w:rPr>
          <w:rFonts w:asciiTheme="minorEastAsia" w:hAnsiTheme="minorEastAsia"/>
          <w:b/>
          <w:bCs/>
          <w:sz w:val="24"/>
        </w:rPr>
      </w:pPr>
    </w:p>
    <w:p>
      <w:pPr>
        <w:widowControl/>
        <w:jc w:val="left"/>
        <w:rPr>
          <w:rFonts w:asciiTheme="minorEastAsia" w:hAnsiTheme="minorEastAsia"/>
          <w:b/>
          <w:bCs/>
          <w:sz w:val="24"/>
        </w:rPr>
      </w:pPr>
    </w:p>
    <w:p>
      <w:pPr>
        <w:spacing w:line="440" w:lineRule="exact"/>
        <w:rPr>
          <w:rFonts w:ascii="宋体" w:hAnsi="宋体"/>
          <w:sz w:val="24"/>
        </w:rPr>
      </w:pPr>
    </w:p>
    <w:p>
      <w:pPr>
        <w:spacing w:line="440" w:lineRule="exact"/>
        <w:rPr>
          <w:rFonts w:ascii="宋体" w:hAnsi="宋体"/>
          <w:sz w:val="24"/>
        </w:rPr>
      </w:pPr>
    </w:p>
    <w:p>
      <w:pPr>
        <w:spacing w:line="440" w:lineRule="exact"/>
        <w:rPr>
          <w:rFonts w:ascii="宋体" w:hAnsi="宋体"/>
          <w:sz w:val="24"/>
        </w:rPr>
      </w:pPr>
    </w:p>
    <w:p>
      <w:pPr>
        <w:jc w:val="left"/>
        <w:rPr>
          <w:rStyle w:val="24"/>
          <w:rFonts w:ascii="仿宋" w:hAnsi="仿宋" w:eastAsia="仿宋"/>
          <w:sz w:val="32"/>
          <w:szCs w:val="32"/>
        </w:rPr>
      </w:pPr>
      <w:r>
        <w:rPr>
          <w:rStyle w:val="24"/>
          <w:rFonts w:hint="eastAsia" w:ascii="仿宋" w:hAnsi="仿宋" w:eastAsia="仿宋"/>
          <w:sz w:val="32"/>
          <w:szCs w:val="32"/>
        </w:rPr>
        <w:t>附表四</w:t>
      </w:r>
    </w:p>
    <w:p>
      <w:pPr>
        <w:jc w:val="center"/>
        <w:rPr>
          <w:rStyle w:val="24"/>
          <w:rFonts w:ascii="仿宋" w:hAnsi="仿宋" w:eastAsia="仿宋"/>
          <w:sz w:val="32"/>
          <w:szCs w:val="32"/>
        </w:rPr>
      </w:pPr>
      <w:r>
        <w:rPr>
          <w:rStyle w:val="24"/>
          <w:rFonts w:hint="eastAsia" w:ascii="仿宋" w:hAnsi="仿宋" w:eastAsia="仿宋"/>
          <w:sz w:val="32"/>
          <w:szCs w:val="32"/>
        </w:rPr>
        <w:t>公共选修（含国学辅修）课程</w:t>
      </w:r>
    </w:p>
    <w:tbl>
      <w:tblPr>
        <w:tblStyle w:val="17"/>
        <w:tblW w:w="5000" w:type="pct"/>
        <w:tblInd w:w="0" w:type="dxa"/>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Layout w:type="autofit"/>
        <w:tblCellMar>
          <w:top w:w="0" w:type="dxa"/>
          <w:left w:w="0" w:type="dxa"/>
          <w:bottom w:w="0" w:type="dxa"/>
          <w:right w:w="0" w:type="dxa"/>
        </w:tblCellMar>
      </w:tblPr>
      <w:tblGrid>
        <w:gridCol w:w="1112"/>
        <w:gridCol w:w="1624"/>
        <w:gridCol w:w="4866"/>
        <w:gridCol w:w="1694"/>
        <w:gridCol w:w="1903"/>
        <w:gridCol w:w="2775"/>
      </w:tblGrid>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b/>
                <w:kern w:val="0"/>
                <w:szCs w:val="21"/>
              </w:rPr>
            </w:pPr>
            <w:r>
              <w:rPr>
                <w:rStyle w:val="24"/>
                <w:rFonts w:asciiTheme="minorEastAsia" w:hAnsiTheme="minorEastAsia"/>
                <w:b/>
                <w:kern w:val="0"/>
                <w:szCs w:val="21"/>
              </w:rPr>
              <w:t>编号</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b/>
                <w:kern w:val="0"/>
                <w:szCs w:val="21"/>
              </w:rPr>
            </w:pPr>
            <w:r>
              <w:rPr>
                <w:rStyle w:val="24"/>
                <w:rFonts w:asciiTheme="minorEastAsia" w:hAnsiTheme="minorEastAsia"/>
                <w:b/>
                <w:kern w:val="0"/>
                <w:szCs w:val="21"/>
              </w:rPr>
              <w:t>类型</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b/>
                <w:kern w:val="0"/>
                <w:szCs w:val="21"/>
              </w:rPr>
            </w:pPr>
            <w:r>
              <w:rPr>
                <w:rStyle w:val="24"/>
                <w:rFonts w:asciiTheme="minorEastAsia" w:hAnsiTheme="minorEastAsia"/>
                <w:b/>
                <w:kern w:val="0"/>
                <w:szCs w:val="21"/>
              </w:rPr>
              <w:t>课程名称</w:t>
            </w:r>
          </w:p>
        </w:tc>
        <w:tc>
          <w:tcPr>
            <w:tcW w:w="606"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b/>
                <w:kern w:val="0"/>
                <w:szCs w:val="21"/>
              </w:rPr>
            </w:pPr>
            <w:r>
              <w:rPr>
                <w:rStyle w:val="24"/>
                <w:rFonts w:asciiTheme="minorEastAsia" w:hAnsiTheme="minorEastAsia"/>
                <w:b/>
                <w:kern w:val="0"/>
                <w:szCs w:val="21"/>
              </w:rPr>
              <w:t>学分</w:t>
            </w:r>
          </w:p>
        </w:tc>
        <w:tc>
          <w:tcPr>
            <w:tcW w:w="68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b/>
                <w:kern w:val="0"/>
                <w:szCs w:val="21"/>
              </w:rPr>
            </w:pPr>
            <w:r>
              <w:rPr>
                <w:rStyle w:val="24"/>
                <w:rFonts w:asciiTheme="minorEastAsia" w:hAnsiTheme="minorEastAsia"/>
                <w:b/>
                <w:kern w:val="0"/>
                <w:szCs w:val="21"/>
              </w:rPr>
              <w:t>学时</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b/>
                <w:kern w:val="0"/>
                <w:szCs w:val="21"/>
              </w:rPr>
            </w:pPr>
            <w:r>
              <w:rPr>
                <w:rStyle w:val="24"/>
                <w:rFonts w:asciiTheme="minorEastAsia" w:hAnsiTheme="minorEastAsia"/>
                <w:b/>
                <w:kern w:val="0"/>
                <w:szCs w:val="21"/>
              </w:rPr>
              <w:t>授课学期</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b/>
                <w:kern w:val="0"/>
                <w:szCs w:val="21"/>
              </w:rPr>
            </w:pPr>
            <w:r>
              <w:rPr>
                <w:rStyle w:val="24"/>
                <w:rFonts w:asciiTheme="minorEastAsia" w:hAnsiTheme="minorEastAsia"/>
                <w:kern w:val="0"/>
                <w:szCs w:val="21"/>
              </w:rPr>
              <w:t>1</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b/>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szCs w:val="21"/>
              </w:rPr>
            </w:pPr>
            <w:r>
              <w:rPr>
                <w:rStyle w:val="24"/>
                <w:rFonts w:hint="eastAsia" w:asciiTheme="minorEastAsia" w:hAnsiTheme="minorEastAsia"/>
                <w:szCs w:val="21"/>
              </w:rPr>
              <w:t xml:space="preserve">举例 </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32</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2</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szCs w:val="21"/>
              </w:rPr>
            </w:pPr>
            <w:r>
              <w:rPr>
                <w:rStyle w:val="24"/>
                <w:rFonts w:hint="eastAsia" w:asciiTheme="minorEastAsia" w:hAnsiTheme="minorEastAsia"/>
                <w:szCs w:val="21"/>
              </w:rPr>
              <w:t>中国民俗文化</w:t>
            </w:r>
            <w:r>
              <w:rPr>
                <w:rStyle w:val="24"/>
                <w:rFonts w:hint="eastAsia" w:asciiTheme="minorEastAsia" w:hAnsiTheme="minorEastAsia"/>
                <w:kern w:val="0"/>
                <w:szCs w:val="21"/>
              </w:rPr>
              <w:t>*</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18</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3</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中华诗词之美</w:t>
            </w:r>
            <w:r>
              <w:rPr>
                <w:rStyle w:val="24"/>
                <w:rFonts w:hint="eastAsia" w:asciiTheme="minorEastAsia" w:hAnsiTheme="minorEastAsia"/>
                <w:kern w:val="0"/>
                <w:szCs w:val="21"/>
              </w:rPr>
              <w:t>*</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18</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4</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国学智慧</w:t>
            </w:r>
            <w:r>
              <w:rPr>
                <w:rStyle w:val="24"/>
                <w:rFonts w:hint="eastAsia" w:asciiTheme="minorEastAsia" w:hAnsiTheme="minorEastAsia"/>
                <w:kern w:val="0"/>
                <w:szCs w:val="21"/>
              </w:rPr>
              <w:t>*</w:t>
            </w:r>
          </w:p>
        </w:tc>
        <w:tc>
          <w:tcPr>
            <w:tcW w:w="606"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18</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b/>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中国社会与文化</w:t>
            </w:r>
            <w:r>
              <w:rPr>
                <w:rStyle w:val="24"/>
                <w:rFonts w:hint="eastAsia" w:asciiTheme="minorEastAsia" w:hAnsiTheme="minorEastAsia"/>
                <w:kern w:val="0"/>
                <w:szCs w:val="21"/>
              </w:rPr>
              <w:t>*</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32</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6</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河洛文化*</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32</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7</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儒家文化与管理*</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18</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8</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道德经与心理健康*</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18</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b/>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9</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传统礼仪与口才艺术</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18</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10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中国文化概论</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32</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w:t>
            </w:r>
            <w:r>
              <w:rPr>
                <w:rStyle w:val="24"/>
                <w:rFonts w:hint="eastAsia" w:asciiTheme="minorEastAsia" w:hAnsiTheme="minorEastAsia"/>
                <w:kern w:val="0"/>
                <w:szCs w:val="21"/>
              </w:rPr>
              <w:t>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szCs w:val="21"/>
              </w:rPr>
            </w:pPr>
            <w:r>
              <w:rPr>
                <w:rStyle w:val="24"/>
                <w:rFonts w:hint="eastAsia" w:asciiTheme="minorEastAsia" w:hAnsiTheme="minorEastAsia"/>
                <w:szCs w:val="21"/>
              </w:rPr>
              <w:t>《诗经》研读</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18</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12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szCs w:val="21"/>
              </w:rPr>
            </w:pPr>
            <w:r>
              <w:rPr>
                <w:rStyle w:val="24"/>
                <w:rFonts w:hint="eastAsia" w:asciiTheme="minorEastAsia" w:hAnsiTheme="minorEastAsia"/>
                <w:szCs w:val="21"/>
              </w:rPr>
              <w:t>《史记》研读</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18</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b/>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13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美术</w:t>
            </w:r>
            <w:r>
              <w:rPr>
                <w:rStyle w:val="24"/>
                <w:rFonts w:asciiTheme="minorEastAsia" w:hAnsiTheme="minorEastAsia"/>
                <w:kern w:val="0"/>
                <w:szCs w:val="21"/>
              </w:rPr>
              <w:t>鉴赏</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18</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14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szCs w:val="21"/>
              </w:rPr>
              <w:t>国术与保健</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18</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15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szCs w:val="21"/>
              </w:rPr>
              <w:t>中医养生</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18</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16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戏曲</w:t>
            </w:r>
            <w:r>
              <w:rPr>
                <w:rStyle w:val="24"/>
                <w:rFonts w:asciiTheme="minorEastAsia" w:hAnsiTheme="minorEastAsia"/>
                <w:kern w:val="0"/>
                <w:szCs w:val="21"/>
              </w:rPr>
              <w:t>鉴赏</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18</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b/>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17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szCs w:val="21"/>
              </w:rPr>
              <w:t>中国茶道</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18</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18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szCs w:val="21"/>
              </w:rPr>
            </w:pPr>
            <w:r>
              <w:rPr>
                <w:rStyle w:val="24"/>
                <w:rFonts w:hint="eastAsia" w:asciiTheme="minorEastAsia" w:hAnsiTheme="minorEastAsia"/>
                <w:szCs w:val="21"/>
              </w:rPr>
              <w:t>剪纸艺术</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18</w:t>
            </w:r>
          </w:p>
        </w:tc>
        <w:tc>
          <w:tcPr>
            <w:tcW w:w="993"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19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舞蹈鉴赏</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18</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20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szCs w:val="21"/>
              </w:rPr>
            </w:pPr>
            <w:r>
              <w:rPr>
                <w:rStyle w:val="24"/>
                <w:rFonts w:hint="eastAsia" w:asciiTheme="minorEastAsia" w:hAnsiTheme="minorEastAsia"/>
                <w:szCs w:val="21"/>
              </w:rPr>
              <w:t>语言与文化</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szCs w:val="21"/>
              </w:rPr>
            </w:pPr>
            <w:r>
              <w:rPr>
                <w:rStyle w:val="24"/>
                <w:rFonts w:hint="eastAsia" w:asciiTheme="minorEastAsia" w:hAnsiTheme="minorEastAsia"/>
                <w:szCs w:val="21"/>
              </w:rPr>
              <w:t>19</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21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szCs w:val="21"/>
              </w:rPr>
            </w:pPr>
            <w:r>
              <w:rPr>
                <w:rStyle w:val="24"/>
                <w:rFonts w:hint="eastAsia" w:asciiTheme="minorEastAsia" w:hAnsiTheme="minorEastAsia"/>
                <w:szCs w:val="21"/>
              </w:rPr>
              <w:t>情商与智慧人生</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szCs w:val="21"/>
              </w:rPr>
            </w:pPr>
            <w:r>
              <w:rPr>
                <w:rStyle w:val="24"/>
                <w:rFonts w:hint="eastAsia" w:asciiTheme="minorEastAsia" w:hAnsiTheme="minorEastAsia"/>
                <w:szCs w:val="21"/>
              </w:rPr>
              <w:t>16</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22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szCs w:val="21"/>
              </w:rPr>
            </w:pPr>
            <w:r>
              <w:rPr>
                <w:rStyle w:val="24"/>
                <w:rFonts w:hint="eastAsia" w:asciiTheme="minorEastAsia" w:hAnsiTheme="minorEastAsia"/>
                <w:szCs w:val="21"/>
              </w:rPr>
              <w:t>走进西方音乐</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szCs w:val="21"/>
              </w:rPr>
            </w:pPr>
            <w:r>
              <w:rPr>
                <w:rStyle w:val="24"/>
                <w:rFonts w:hint="eastAsia" w:asciiTheme="minorEastAsia" w:hAnsiTheme="minorEastAsia"/>
                <w:szCs w:val="21"/>
              </w:rPr>
              <w:t>16</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23</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szCs w:val="21"/>
              </w:rPr>
            </w:pPr>
            <w:r>
              <w:rPr>
                <w:rStyle w:val="24"/>
                <w:rFonts w:hint="eastAsia" w:asciiTheme="minorEastAsia" w:hAnsiTheme="minorEastAsia"/>
                <w:szCs w:val="21"/>
              </w:rPr>
              <w:t>地球历史及其生命奥秘</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18</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b/>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24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szCs w:val="21"/>
              </w:rPr>
            </w:pPr>
            <w:r>
              <w:rPr>
                <w:rStyle w:val="24"/>
                <w:rFonts w:hint="eastAsia" w:asciiTheme="minorEastAsia" w:hAnsiTheme="minorEastAsia"/>
                <w:szCs w:val="21"/>
              </w:rPr>
              <w:t>数学的奥秘：本质与思维</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18</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25</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szCs w:val="21"/>
              </w:rPr>
            </w:pPr>
            <w:r>
              <w:rPr>
                <w:rStyle w:val="24"/>
                <w:rFonts w:hint="eastAsia" w:asciiTheme="minorEastAsia" w:hAnsiTheme="minorEastAsia"/>
                <w:szCs w:val="21"/>
              </w:rPr>
              <w:t>移动互联网时代的信息安全与防护</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18</w:t>
            </w:r>
          </w:p>
        </w:tc>
        <w:tc>
          <w:tcPr>
            <w:tcW w:w="993"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26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szCs w:val="21"/>
              </w:rPr>
            </w:pPr>
            <w:r>
              <w:rPr>
                <w:rStyle w:val="24"/>
                <w:rFonts w:hint="eastAsia" w:asciiTheme="minorEastAsia" w:hAnsiTheme="minorEastAsia"/>
                <w:szCs w:val="21"/>
              </w:rPr>
              <w:t>基因与人</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16</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27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szCs w:val="21"/>
              </w:rPr>
            </w:pPr>
            <w:r>
              <w:rPr>
                <w:rStyle w:val="24"/>
                <w:rFonts w:hint="eastAsia" w:asciiTheme="minorEastAsia" w:hAnsiTheme="minorEastAsia"/>
                <w:szCs w:val="21"/>
              </w:rPr>
              <w:t>什么是科学</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19</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b/>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28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szCs w:val="21"/>
              </w:rPr>
            </w:pPr>
            <w:r>
              <w:rPr>
                <w:rStyle w:val="24"/>
                <w:rFonts w:hint="eastAsia" w:asciiTheme="minorEastAsia" w:hAnsiTheme="minorEastAsia"/>
                <w:szCs w:val="21"/>
              </w:rPr>
              <w:t>能源中国</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19</w:t>
            </w:r>
          </w:p>
        </w:tc>
        <w:tc>
          <w:tcPr>
            <w:tcW w:w="993"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398"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29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任选</w:t>
            </w:r>
          </w:p>
        </w:tc>
        <w:tc>
          <w:tcPr>
            <w:tcW w:w="1741" w:type="pct"/>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szCs w:val="21"/>
              </w:rPr>
            </w:pPr>
            <w:r>
              <w:rPr>
                <w:rStyle w:val="24"/>
                <w:rFonts w:hint="eastAsia" w:asciiTheme="minorEastAsia" w:hAnsiTheme="minorEastAsia"/>
                <w:szCs w:val="21"/>
              </w:rPr>
              <w:t>新媒体环境下的品牌策划</w:t>
            </w:r>
          </w:p>
        </w:tc>
        <w:tc>
          <w:tcPr>
            <w:tcW w:w="606"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w:t>
            </w:r>
          </w:p>
        </w:tc>
        <w:tc>
          <w:tcPr>
            <w:tcW w:w="681"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hint="eastAsia" w:asciiTheme="minorEastAsia" w:hAnsiTheme="minorEastAsia"/>
                <w:kern w:val="0"/>
                <w:szCs w:val="21"/>
              </w:rPr>
              <w:t>19</w:t>
            </w:r>
          </w:p>
        </w:tc>
        <w:tc>
          <w:tcPr>
            <w:tcW w:w="993" w:type="pct"/>
            <w:tcBorders>
              <w:top w:val="single" w:color="000000" w:sz="6" w:space="0"/>
              <w:left w:val="single" w:color="000000" w:sz="6" w:space="0"/>
              <w:bottom w:val="single" w:color="000000" w:sz="6" w:space="0"/>
              <w:right w:val="single" w:color="000000" w:sz="6" w:space="0"/>
            </w:tcBorders>
          </w:tcPr>
          <w:p>
            <w:pPr>
              <w:jc w:val="center"/>
              <w:rPr>
                <w:rStyle w:val="24"/>
                <w:rFonts w:asciiTheme="minorEastAsia" w:hAnsiTheme="minorEastAsia"/>
                <w:kern w:val="0"/>
                <w:szCs w:val="21"/>
              </w:rPr>
            </w:pPr>
            <w:r>
              <w:rPr>
                <w:rStyle w:val="24"/>
                <w:rFonts w:asciiTheme="minorEastAsia" w:hAnsiTheme="minorEastAsia"/>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c>
          <w:tcPr>
            <w:tcW w:w="5000" w:type="pct"/>
            <w:gridSpan w:val="6"/>
            <w:tcBorders>
              <w:top w:val="single" w:color="000000" w:sz="6" w:space="0"/>
              <w:left w:val="single" w:color="000000" w:sz="6" w:space="0"/>
              <w:bottom w:val="single" w:color="000000" w:sz="6" w:space="0"/>
              <w:right w:val="single" w:color="000000" w:sz="6" w:space="0"/>
            </w:tcBorders>
            <w:vAlign w:val="center"/>
          </w:tcPr>
          <w:p>
            <w:pPr>
              <w:jc w:val="center"/>
              <w:rPr>
                <w:rStyle w:val="24"/>
                <w:rFonts w:asciiTheme="minorEastAsia" w:hAnsiTheme="minorEastAsia"/>
                <w:kern w:val="0"/>
                <w:szCs w:val="21"/>
              </w:rPr>
            </w:pPr>
            <w:r>
              <w:rPr>
                <w:rStyle w:val="24"/>
                <w:rFonts w:hint="eastAsia" w:asciiTheme="minorEastAsia" w:hAnsiTheme="minorEastAsia"/>
                <w:kern w:val="0"/>
                <w:szCs w:val="21"/>
              </w:rPr>
              <w:t>公共选修课程采用动态管理方式，根据实际需要按照学年进行调整</w:t>
            </w:r>
          </w:p>
        </w:tc>
      </w:tr>
    </w:tbl>
    <w:p>
      <w:pPr>
        <w:ind w:firstLine="640" w:firstLineChars="200"/>
        <w:rPr>
          <w:rStyle w:val="24"/>
          <w:rFonts w:ascii="仿宋" w:hAnsi="仿宋" w:eastAsia="仿宋"/>
          <w:sz w:val="32"/>
          <w:szCs w:val="32"/>
        </w:rPr>
      </w:pPr>
      <w:r>
        <w:rPr>
          <w:rStyle w:val="24"/>
          <w:rFonts w:hint="eastAsia" w:ascii="仿宋" w:hAnsi="仿宋" w:eastAsia="仿宋"/>
          <w:sz w:val="32"/>
          <w:szCs w:val="32"/>
        </w:rPr>
        <w:t>注：</w:t>
      </w:r>
      <w:r>
        <w:rPr>
          <w:rStyle w:val="24"/>
          <w:rFonts w:ascii="仿宋" w:hAnsi="仿宋" w:eastAsia="仿宋"/>
          <w:sz w:val="32"/>
          <w:szCs w:val="32"/>
        </w:rPr>
        <w:t>学生在1-4学期</w:t>
      </w:r>
      <w:r>
        <w:rPr>
          <w:rStyle w:val="24"/>
          <w:rFonts w:hint="eastAsia" w:ascii="仿宋" w:hAnsi="仿宋" w:eastAsia="仿宋"/>
          <w:sz w:val="32"/>
          <w:szCs w:val="32"/>
        </w:rPr>
        <w:t>，需要在选修课模块中任选修读完成4个以上学分课程。申请国学辅修专业的学生须修满8学分以上国学课程（*标课程），成绩合格颁发国学辅修专业证书</w:t>
      </w:r>
      <w:r>
        <w:rPr>
          <w:rStyle w:val="24"/>
          <w:rFonts w:ascii="仿宋" w:hAnsi="仿宋" w:eastAsia="仿宋"/>
          <w:sz w:val="32"/>
          <w:szCs w:val="32"/>
        </w:rPr>
        <w:t>。</w:t>
      </w:r>
    </w:p>
    <w:p>
      <w:pPr>
        <w:jc w:val="left"/>
        <w:rPr>
          <w:rStyle w:val="24"/>
          <w:rFonts w:ascii="仿宋" w:hAnsi="仿宋" w:eastAsia="仿宋"/>
        </w:rPr>
      </w:pPr>
      <w:r>
        <w:rPr>
          <w:rStyle w:val="24"/>
          <w:rFonts w:ascii="仿宋" w:hAnsi="仿宋" w:eastAsia="仿宋"/>
        </w:rPr>
        <w:br w:type="page"/>
      </w:r>
    </w:p>
    <w:p>
      <w:pPr>
        <w:jc w:val="left"/>
        <w:rPr>
          <w:sz w:val="32"/>
          <w:szCs w:val="32"/>
        </w:rPr>
      </w:pPr>
      <w:r>
        <w:rPr>
          <w:rStyle w:val="24"/>
          <w:rFonts w:hint="eastAsia" w:ascii="仿宋" w:hAnsi="仿宋" w:eastAsia="仿宋"/>
          <w:sz w:val="32"/>
          <w:szCs w:val="32"/>
        </w:rPr>
        <w:t>附表五</w:t>
      </w:r>
    </w:p>
    <w:p>
      <w:pPr>
        <w:jc w:val="center"/>
        <w:rPr>
          <w:rStyle w:val="24"/>
          <w:rFonts w:ascii="仿宋" w:hAnsi="仿宋" w:eastAsia="仿宋"/>
        </w:rPr>
      </w:pPr>
      <w:r>
        <w:rPr>
          <w:rStyle w:val="24"/>
          <w:rFonts w:hint="eastAsia" w:ascii="仿宋" w:hAnsi="仿宋" w:eastAsia="仿宋"/>
          <w:sz w:val="32"/>
          <w:szCs w:val="32"/>
        </w:rPr>
        <w:t>学时比例表</w:t>
      </w:r>
    </w:p>
    <w:tbl>
      <w:tblPr>
        <w:tblStyle w:val="17"/>
        <w:tblpPr w:leftFromText="180" w:rightFromText="180" w:vertAnchor="text" w:horzAnchor="page" w:tblpX="3787" w:tblpY="538"/>
        <w:tblOverlap w:val="never"/>
        <w:tblW w:w="93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28"/>
        <w:gridCol w:w="1110"/>
        <w:gridCol w:w="1122"/>
        <w:gridCol w:w="1155"/>
        <w:gridCol w:w="1343"/>
        <w:gridCol w:w="1473"/>
        <w:gridCol w:w="14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7" w:hRule="atLeast"/>
        </w:trPr>
        <w:tc>
          <w:tcPr>
            <w:tcW w:w="1728" w:type="dxa"/>
            <w:vMerge w:val="restart"/>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p>
          <w:p>
            <w:pPr>
              <w:pStyle w:val="88"/>
              <w:spacing w:line="480" w:lineRule="exact"/>
              <w:jc w:val="center"/>
              <w:rPr>
                <w:color w:val="000000" w:themeColor="text1"/>
                <w:sz w:val="18"/>
                <w:lang w:val="zh-CN"/>
                <w14:textFill>
                  <w14:solidFill>
                    <w14:schemeClr w14:val="tx1"/>
                  </w14:solidFill>
                </w14:textFill>
              </w:rPr>
            </w:pPr>
            <w:r>
              <w:rPr>
                <w:rFonts w:hint="eastAsia"/>
                <w:color w:val="000000" w:themeColor="text1"/>
                <w:sz w:val="18"/>
                <w:lang w:val="zh-CN"/>
                <w14:textFill>
                  <w14:solidFill>
                    <w14:schemeClr w14:val="tx1"/>
                  </w14:solidFill>
                </w14:textFill>
              </w:rPr>
              <w:t>课程类型</w:t>
            </w:r>
          </w:p>
        </w:tc>
        <w:tc>
          <w:tcPr>
            <w:tcW w:w="1110" w:type="dxa"/>
            <w:vMerge w:val="restart"/>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p>
          <w:p>
            <w:pPr>
              <w:pStyle w:val="88"/>
              <w:spacing w:line="480" w:lineRule="exact"/>
              <w:jc w:val="center"/>
              <w:rPr>
                <w:color w:val="000000" w:themeColor="text1"/>
                <w:sz w:val="18"/>
                <w:lang w:val="zh-CN"/>
                <w14:textFill>
                  <w14:solidFill>
                    <w14:schemeClr w14:val="tx1"/>
                  </w14:solidFill>
                </w14:textFill>
              </w:rPr>
            </w:pPr>
            <w:r>
              <w:rPr>
                <w:rFonts w:hint="eastAsia"/>
                <w:color w:val="000000" w:themeColor="text1"/>
                <w:sz w:val="18"/>
                <w:lang w:val="zh-CN"/>
                <w14:textFill>
                  <w14:solidFill>
                    <w14:schemeClr w14:val="tx1"/>
                  </w14:solidFill>
                </w14:textFill>
              </w:rPr>
              <w:t>课程性质</w:t>
            </w:r>
          </w:p>
        </w:tc>
        <w:tc>
          <w:tcPr>
            <w:tcW w:w="1122" w:type="dxa"/>
            <w:vMerge w:val="restart"/>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p>
          <w:p>
            <w:pPr>
              <w:pStyle w:val="88"/>
              <w:spacing w:line="480" w:lineRule="exact"/>
              <w:jc w:val="center"/>
              <w:rPr>
                <w:color w:val="000000" w:themeColor="text1"/>
                <w:sz w:val="18"/>
                <w:lang w:val="zh-CN"/>
                <w14:textFill>
                  <w14:solidFill>
                    <w14:schemeClr w14:val="tx1"/>
                  </w14:solidFill>
                </w14:textFill>
              </w:rPr>
            </w:pPr>
            <w:r>
              <w:rPr>
                <w:rFonts w:hint="eastAsia"/>
                <w:color w:val="000000" w:themeColor="text1"/>
                <w:sz w:val="18"/>
                <w:lang w:val="zh-CN"/>
                <w14:textFill>
                  <w14:solidFill>
                    <w14:schemeClr w14:val="tx1"/>
                  </w14:solidFill>
                </w14:textFill>
              </w:rPr>
              <w:t>学分</w:t>
            </w:r>
          </w:p>
        </w:tc>
        <w:tc>
          <w:tcPr>
            <w:tcW w:w="3971" w:type="dxa"/>
            <w:gridSpan w:val="3"/>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en-US"/>
                <w14:textFill>
                  <w14:solidFill>
                    <w14:schemeClr w14:val="tx1"/>
                  </w14:solidFill>
                </w14:textFill>
              </w:rPr>
            </w:pPr>
            <w:r>
              <w:rPr>
                <w:rFonts w:hint="eastAsia"/>
                <w:color w:val="000000" w:themeColor="text1"/>
                <w:sz w:val="18"/>
                <w:lang w:val="en-US"/>
                <w14:textFill>
                  <w14:solidFill>
                    <w14:schemeClr w14:val="tx1"/>
                  </w14:solidFill>
                </w14:textFill>
              </w:rPr>
              <w:t>学时</w:t>
            </w:r>
          </w:p>
        </w:tc>
        <w:tc>
          <w:tcPr>
            <w:tcW w:w="1429" w:type="dxa"/>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p>
          <w:p>
            <w:pPr>
              <w:pStyle w:val="88"/>
              <w:spacing w:line="480" w:lineRule="exact"/>
              <w:jc w:val="center"/>
              <w:rPr>
                <w:color w:val="000000" w:themeColor="text1"/>
                <w:sz w:val="18"/>
                <w:lang w:val="zh-CN"/>
                <w14:textFill>
                  <w14:solidFill>
                    <w14:schemeClr w14:val="tx1"/>
                  </w14:solidFill>
                </w14:textFill>
              </w:rPr>
            </w:pPr>
            <w:r>
              <w:rPr>
                <w:rFonts w:hint="eastAsia"/>
                <w:color w:val="000000" w:themeColor="text1"/>
                <w:sz w:val="18"/>
                <w:lang w:val="zh-CN"/>
                <w14:textFill>
                  <w14:solidFill>
                    <w14:schemeClr w14:val="tx1"/>
                  </w14:solidFill>
                </w14:textFill>
              </w:rPr>
              <w:t>学时比例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1728" w:type="dxa"/>
            <w:vMerge w:val="continue"/>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p>
        </w:tc>
        <w:tc>
          <w:tcPr>
            <w:tcW w:w="1110" w:type="dxa"/>
            <w:vMerge w:val="continue"/>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p>
        </w:tc>
        <w:tc>
          <w:tcPr>
            <w:tcW w:w="1122" w:type="dxa"/>
            <w:vMerge w:val="continue"/>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p>
        </w:tc>
        <w:tc>
          <w:tcPr>
            <w:tcW w:w="1155" w:type="dxa"/>
            <w:tcBorders>
              <w:top w:val="nil"/>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r>
              <w:rPr>
                <w:rFonts w:hint="eastAsia"/>
                <w:color w:val="000000" w:themeColor="text1"/>
                <w:sz w:val="18"/>
                <w:lang w:val="zh-CN"/>
                <w14:textFill>
                  <w14:solidFill>
                    <w14:schemeClr w14:val="tx1"/>
                  </w14:solidFill>
                </w14:textFill>
              </w:rPr>
              <w:t>总学时</w:t>
            </w:r>
          </w:p>
        </w:tc>
        <w:tc>
          <w:tcPr>
            <w:tcW w:w="1343" w:type="dxa"/>
            <w:tcBorders>
              <w:top w:val="nil"/>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r>
              <w:rPr>
                <w:rFonts w:hint="eastAsia"/>
                <w:color w:val="000000" w:themeColor="text1"/>
                <w:sz w:val="18"/>
                <w:lang w:val="zh-CN"/>
                <w14:textFill>
                  <w14:solidFill>
                    <w14:schemeClr w14:val="tx1"/>
                  </w14:solidFill>
                </w14:textFill>
              </w:rPr>
              <w:t>理论学时</w:t>
            </w:r>
          </w:p>
        </w:tc>
        <w:tc>
          <w:tcPr>
            <w:tcW w:w="1473" w:type="dxa"/>
            <w:tcBorders>
              <w:top w:val="nil"/>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r>
              <w:rPr>
                <w:rFonts w:hint="eastAsia"/>
                <w:color w:val="000000" w:themeColor="text1"/>
                <w:sz w:val="18"/>
                <w:lang w:val="zh-CN"/>
                <w14:textFill>
                  <w14:solidFill>
                    <w14:schemeClr w14:val="tx1"/>
                  </w14:solidFill>
                </w14:textFill>
              </w:rPr>
              <w:t>实践学时</w:t>
            </w:r>
          </w:p>
        </w:tc>
        <w:tc>
          <w:tcPr>
            <w:tcW w:w="1429" w:type="dxa"/>
            <w:tcBorders>
              <w:top w:val="nil"/>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2" w:hRule="atLeast"/>
        </w:trPr>
        <w:tc>
          <w:tcPr>
            <w:tcW w:w="1728" w:type="dxa"/>
            <w:vMerge w:val="restart"/>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p>
          <w:p>
            <w:pPr>
              <w:pStyle w:val="88"/>
              <w:spacing w:line="480" w:lineRule="exact"/>
              <w:jc w:val="center"/>
              <w:rPr>
                <w:color w:val="000000" w:themeColor="text1"/>
                <w:sz w:val="18"/>
                <w:lang w:val="zh-CN"/>
                <w14:textFill>
                  <w14:solidFill>
                    <w14:schemeClr w14:val="tx1"/>
                  </w14:solidFill>
                </w14:textFill>
              </w:rPr>
            </w:pPr>
            <w:r>
              <w:rPr>
                <w:rFonts w:hint="eastAsia"/>
                <w:color w:val="000000" w:themeColor="text1"/>
                <w:sz w:val="18"/>
                <w:lang w:val="zh-CN"/>
                <w14:textFill>
                  <w14:solidFill>
                    <w14:schemeClr w14:val="tx1"/>
                  </w14:solidFill>
                </w14:textFill>
              </w:rPr>
              <w:t>公共基础课</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r>
              <w:rPr>
                <w:rFonts w:hint="eastAsia"/>
                <w:color w:val="000000" w:themeColor="text1"/>
                <w:sz w:val="18"/>
                <w:lang w:val="zh-CN"/>
                <w14:textFill>
                  <w14:solidFill>
                    <w14:schemeClr w14:val="tx1"/>
                  </w14:solidFill>
                </w14:textFill>
              </w:rPr>
              <w:t>必修课</w:t>
            </w:r>
          </w:p>
        </w:tc>
        <w:tc>
          <w:tcPr>
            <w:tcW w:w="1122"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ascii="宋体" w:hAnsi="宋体" w:eastAsia="宋体" w:cs="宋体"/>
                <w:color w:val="000000" w:themeColor="text1"/>
                <w:kern w:val="0"/>
                <w:sz w:val="18"/>
                <w:szCs w:val="22"/>
                <w:lang w:val="en-US" w:eastAsia="zh-CN" w:bidi="ar-SA"/>
                <w14:textFill>
                  <w14:solidFill>
                    <w14:schemeClr w14:val="tx1"/>
                  </w14:solidFill>
                </w14:textFill>
              </w:rPr>
              <w:t>87</w:t>
            </w:r>
          </w:p>
        </w:tc>
        <w:tc>
          <w:tcPr>
            <w:tcW w:w="1155"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ascii="宋体" w:hAnsi="宋体" w:eastAsia="宋体" w:cs="宋体"/>
                <w:color w:val="000000" w:themeColor="text1"/>
                <w:kern w:val="0"/>
                <w:sz w:val="18"/>
                <w:szCs w:val="22"/>
                <w:lang w:val="en-US" w:eastAsia="zh-CN" w:bidi="ar-SA"/>
                <w14:textFill>
                  <w14:solidFill>
                    <w14:schemeClr w14:val="tx1"/>
                  </w14:solidFill>
                </w14:textFill>
              </w:rPr>
              <w:t>1492</w:t>
            </w:r>
          </w:p>
        </w:tc>
        <w:tc>
          <w:tcPr>
            <w:tcW w:w="1343"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ascii="宋体" w:hAnsi="宋体" w:eastAsia="宋体" w:cs="宋体"/>
                <w:color w:val="000000" w:themeColor="text1"/>
                <w:kern w:val="0"/>
                <w:sz w:val="18"/>
                <w:szCs w:val="22"/>
                <w:lang w:val="en-US" w:eastAsia="zh-CN" w:bidi="ar-SA"/>
                <w14:textFill>
                  <w14:solidFill>
                    <w14:schemeClr w14:val="tx1"/>
                  </w14:solidFill>
                </w14:textFill>
              </w:rPr>
              <w:t>1333</w:t>
            </w:r>
          </w:p>
        </w:tc>
        <w:tc>
          <w:tcPr>
            <w:tcW w:w="1473"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ascii="宋体" w:hAnsi="宋体" w:eastAsia="宋体" w:cs="宋体"/>
                <w:color w:val="000000" w:themeColor="text1"/>
                <w:kern w:val="0"/>
                <w:sz w:val="18"/>
                <w:szCs w:val="22"/>
                <w:lang w:val="en-US" w:eastAsia="zh-CN" w:bidi="ar-SA"/>
                <w14:textFill>
                  <w14:solidFill>
                    <w14:schemeClr w14:val="tx1"/>
                  </w14:solidFill>
                </w14:textFill>
              </w:rPr>
              <w:t>159</w:t>
            </w:r>
          </w:p>
        </w:tc>
        <w:tc>
          <w:tcPr>
            <w:tcW w:w="1429" w:type="dxa"/>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rFonts w:hint="default"/>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33%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61" w:hRule="atLeast"/>
        </w:trPr>
        <w:tc>
          <w:tcPr>
            <w:tcW w:w="1728" w:type="dxa"/>
            <w:vMerge w:val="continue"/>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p>
        </w:tc>
        <w:tc>
          <w:tcPr>
            <w:tcW w:w="1110" w:type="dxa"/>
            <w:tcBorders>
              <w:top w:val="nil"/>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r>
              <w:rPr>
                <w:rFonts w:hint="eastAsia"/>
                <w:color w:val="000000" w:themeColor="text1"/>
                <w:sz w:val="18"/>
                <w:lang w:val="zh-CN"/>
                <w14:textFill>
                  <w14:solidFill>
                    <w14:schemeClr w14:val="tx1"/>
                  </w14:solidFill>
                </w14:textFill>
              </w:rPr>
              <w:t>选修课</w:t>
            </w:r>
          </w:p>
        </w:tc>
        <w:tc>
          <w:tcPr>
            <w:tcW w:w="1122" w:type="dxa"/>
            <w:tcBorders>
              <w:top w:val="nil"/>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ascii="宋体" w:hAnsi="宋体" w:eastAsia="宋体" w:cs="宋体"/>
                <w:color w:val="000000" w:themeColor="text1"/>
                <w:kern w:val="0"/>
                <w:sz w:val="18"/>
                <w:szCs w:val="22"/>
                <w:lang w:val="en-US" w:eastAsia="zh-CN" w:bidi="ar-SA"/>
                <w14:textFill>
                  <w14:solidFill>
                    <w14:schemeClr w14:val="tx1"/>
                  </w14:solidFill>
                </w14:textFill>
              </w:rPr>
              <w:t>10</w:t>
            </w:r>
          </w:p>
        </w:tc>
        <w:tc>
          <w:tcPr>
            <w:tcW w:w="1155" w:type="dxa"/>
            <w:tcBorders>
              <w:top w:val="nil"/>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ascii="宋体" w:hAnsi="宋体" w:eastAsia="宋体" w:cs="宋体"/>
                <w:color w:val="000000" w:themeColor="text1"/>
                <w:kern w:val="0"/>
                <w:sz w:val="18"/>
                <w:szCs w:val="22"/>
                <w:lang w:val="en-US" w:eastAsia="zh-CN" w:bidi="ar-SA"/>
                <w14:textFill>
                  <w14:solidFill>
                    <w14:schemeClr w14:val="tx1"/>
                  </w14:solidFill>
                </w14:textFill>
              </w:rPr>
              <w:t>160</w:t>
            </w:r>
          </w:p>
        </w:tc>
        <w:tc>
          <w:tcPr>
            <w:tcW w:w="1343" w:type="dxa"/>
            <w:tcBorders>
              <w:top w:val="nil"/>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ascii="宋体" w:hAnsi="宋体" w:eastAsia="宋体" w:cs="宋体"/>
                <w:color w:val="000000" w:themeColor="text1"/>
                <w:kern w:val="0"/>
                <w:sz w:val="18"/>
                <w:szCs w:val="22"/>
                <w:lang w:val="en-US" w:eastAsia="zh-CN" w:bidi="ar-SA"/>
                <w14:textFill>
                  <w14:solidFill>
                    <w14:schemeClr w14:val="tx1"/>
                  </w14:solidFill>
                </w14:textFill>
              </w:rPr>
              <w:t>160</w:t>
            </w:r>
          </w:p>
        </w:tc>
        <w:tc>
          <w:tcPr>
            <w:tcW w:w="1473" w:type="dxa"/>
            <w:tcBorders>
              <w:top w:val="nil"/>
              <w:left w:val="single" w:color="000000" w:sz="4" w:space="0"/>
              <w:bottom w:val="single" w:color="000000" w:sz="4" w:space="0"/>
              <w:right w:val="single" w:color="000000" w:sz="4" w:space="0"/>
            </w:tcBorders>
            <w:vAlign w:val="bottom"/>
          </w:tcPr>
          <w:p>
            <w:pPr>
              <w:keepNext w:val="0"/>
              <w:keepLines w:val="0"/>
              <w:widowControl/>
              <w:suppressLineNumbers w:val="0"/>
              <w:jc w:val="center"/>
              <w:textAlignment w:val="bottom"/>
              <w:rPr>
                <w:rFonts w:hint="default" w:ascii="宋体" w:hAnsi="宋体" w:eastAsia="宋体" w:cs="宋体"/>
                <w:color w:val="000000" w:themeColor="text1"/>
                <w:kern w:val="0"/>
                <w:sz w:val="18"/>
                <w:szCs w:val="22"/>
                <w:lang w:val="en-US" w:eastAsia="zh-CN" w:bidi="ar-SA"/>
                <w14:textFill>
                  <w14:solidFill>
                    <w14:schemeClr w14:val="tx1"/>
                  </w14:solidFill>
                </w14:textFill>
              </w:rPr>
            </w:pPr>
            <w:r>
              <w:rPr>
                <w:rFonts w:hint="eastAsia" w:ascii="宋体" w:hAnsi="宋体" w:eastAsia="宋体" w:cs="宋体"/>
                <w:color w:val="000000" w:themeColor="text1"/>
                <w:kern w:val="0"/>
                <w:sz w:val="18"/>
                <w:szCs w:val="22"/>
                <w:lang w:val="en-US" w:eastAsia="zh-CN" w:bidi="ar-SA"/>
                <w14:textFill>
                  <w14:solidFill>
                    <w14:schemeClr w14:val="tx1"/>
                  </w14:solidFill>
                </w14:textFill>
              </w:rPr>
              <w:t>0</w:t>
            </w:r>
          </w:p>
        </w:tc>
        <w:tc>
          <w:tcPr>
            <w:tcW w:w="1429" w:type="dxa"/>
            <w:tcBorders>
              <w:top w:val="nil"/>
              <w:left w:val="single" w:color="000000" w:sz="4" w:space="0"/>
              <w:bottom w:val="single" w:color="000000" w:sz="4" w:space="0"/>
              <w:right w:val="single" w:color="000000" w:sz="4" w:space="0"/>
            </w:tcBorders>
            <w:vAlign w:val="center"/>
          </w:tcPr>
          <w:p>
            <w:pPr>
              <w:pStyle w:val="88"/>
              <w:spacing w:line="480" w:lineRule="exact"/>
              <w:jc w:val="center"/>
              <w:rPr>
                <w:rFonts w:hint="default"/>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1728" w:type="dxa"/>
            <w:vMerge w:val="restart"/>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p>
          <w:p>
            <w:pPr>
              <w:pStyle w:val="88"/>
              <w:spacing w:line="480" w:lineRule="exact"/>
              <w:jc w:val="center"/>
              <w:rPr>
                <w:color w:val="000000" w:themeColor="text1"/>
                <w:sz w:val="18"/>
                <w:lang w:val="zh-CN"/>
                <w14:textFill>
                  <w14:solidFill>
                    <w14:schemeClr w14:val="tx1"/>
                  </w14:solidFill>
                </w14:textFill>
              </w:rPr>
            </w:pPr>
            <w:r>
              <w:rPr>
                <w:rFonts w:hint="eastAsia"/>
                <w:color w:val="000000" w:themeColor="text1"/>
                <w:sz w:val="18"/>
                <w:lang w:val="zh-CN"/>
                <w14:textFill>
                  <w14:solidFill>
                    <w14:schemeClr w14:val="tx1"/>
                  </w14:solidFill>
                </w14:textFill>
              </w:rPr>
              <w:t>专业（技能）课</w:t>
            </w:r>
          </w:p>
        </w:tc>
        <w:tc>
          <w:tcPr>
            <w:tcW w:w="1110" w:type="dxa"/>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r>
              <w:rPr>
                <w:rFonts w:hint="eastAsia"/>
                <w:color w:val="000000" w:themeColor="text1"/>
                <w:sz w:val="18"/>
                <w:lang w:val="zh-CN"/>
                <w14:textFill>
                  <w14:solidFill>
                    <w14:schemeClr w14:val="tx1"/>
                  </w14:solidFill>
                </w14:textFill>
              </w:rPr>
              <w:t>必修课</w:t>
            </w:r>
          </w:p>
        </w:tc>
        <w:tc>
          <w:tcPr>
            <w:tcW w:w="1122" w:type="dxa"/>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rFonts w:hint="default"/>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142</w:t>
            </w:r>
          </w:p>
        </w:tc>
        <w:tc>
          <w:tcPr>
            <w:tcW w:w="1155" w:type="dxa"/>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rFonts w:hint="default"/>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2656</w:t>
            </w:r>
          </w:p>
        </w:tc>
        <w:tc>
          <w:tcPr>
            <w:tcW w:w="1343" w:type="dxa"/>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rFonts w:hint="default"/>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722</w:t>
            </w:r>
          </w:p>
        </w:tc>
        <w:tc>
          <w:tcPr>
            <w:tcW w:w="1473" w:type="dxa"/>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rFonts w:hint="default"/>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1934</w:t>
            </w:r>
          </w:p>
        </w:tc>
        <w:tc>
          <w:tcPr>
            <w:tcW w:w="1429" w:type="dxa"/>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rFonts w:hint="default"/>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2" w:hRule="atLeast"/>
        </w:trPr>
        <w:tc>
          <w:tcPr>
            <w:tcW w:w="1728" w:type="dxa"/>
            <w:vMerge w:val="continue"/>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p>
        </w:tc>
        <w:tc>
          <w:tcPr>
            <w:tcW w:w="1110" w:type="dxa"/>
            <w:tcBorders>
              <w:top w:val="nil"/>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r>
              <w:rPr>
                <w:rFonts w:hint="eastAsia"/>
                <w:color w:val="000000" w:themeColor="text1"/>
                <w:sz w:val="18"/>
                <w:lang w:val="zh-CN"/>
                <w14:textFill>
                  <w14:solidFill>
                    <w14:schemeClr w14:val="tx1"/>
                  </w14:solidFill>
                </w14:textFill>
              </w:rPr>
              <w:t>选修课</w:t>
            </w:r>
          </w:p>
        </w:tc>
        <w:tc>
          <w:tcPr>
            <w:tcW w:w="1122" w:type="dxa"/>
            <w:tcBorders>
              <w:top w:val="nil"/>
              <w:left w:val="single" w:color="000000" w:sz="4" w:space="0"/>
              <w:bottom w:val="single" w:color="000000" w:sz="4" w:space="0"/>
              <w:right w:val="single" w:color="000000" w:sz="4" w:space="0"/>
            </w:tcBorders>
            <w:vAlign w:val="center"/>
          </w:tcPr>
          <w:p>
            <w:pPr>
              <w:pStyle w:val="88"/>
              <w:spacing w:line="480" w:lineRule="exact"/>
              <w:jc w:val="center"/>
              <w:rPr>
                <w:rFonts w:hint="default"/>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18</w:t>
            </w:r>
          </w:p>
        </w:tc>
        <w:tc>
          <w:tcPr>
            <w:tcW w:w="1155" w:type="dxa"/>
            <w:tcBorders>
              <w:top w:val="nil"/>
              <w:left w:val="single" w:color="000000" w:sz="4" w:space="0"/>
              <w:bottom w:val="single" w:color="000000" w:sz="4" w:space="0"/>
              <w:right w:val="single" w:color="000000" w:sz="4" w:space="0"/>
            </w:tcBorders>
            <w:vAlign w:val="center"/>
          </w:tcPr>
          <w:p>
            <w:pPr>
              <w:pStyle w:val="88"/>
              <w:spacing w:line="480" w:lineRule="exact"/>
              <w:jc w:val="center"/>
              <w:rPr>
                <w:rFonts w:hint="default"/>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324</w:t>
            </w:r>
          </w:p>
        </w:tc>
        <w:tc>
          <w:tcPr>
            <w:tcW w:w="1343" w:type="dxa"/>
            <w:tcBorders>
              <w:top w:val="nil"/>
              <w:left w:val="single" w:color="000000" w:sz="4" w:space="0"/>
              <w:bottom w:val="single" w:color="000000" w:sz="4" w:space="0"/>
              <w:right w:val="single" w:color="000000" w:sz="4" w:space="0"/>
            </w:tcBorders>
            <w:vAlign w:val="center"/>
          </w:tcPr>
          <w:p>
            <w:pPr>
              <w:pStyle w:val="88"/>
              <w:spacing w:line="480" w:lineRule="exact"/>
              <w:jc w:val="center"/>
              <w:rPr>
                <w:rFonts w:hint="default"/>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82</w:t>
            </w:r>
          </w:p>
        </w:tc>
        <w:tc>
          <w:tcPr>
            <w:tcW w:w="1473" w:type="dxa"/>
            <w:tcBorders>
              <w:top w:val="nil"/>
              <w:left w:val="single" w:color="000000" w:sz="4" w:space="0"/>
              <w:bottom w:val="single" w:color="000000" w:sz="4" w:space="0"/>
              <w:right w:val="single" w:color="000000" w:sz="4" w:space="0"/>
            </w:tcBorders>
            <w:vAlign w:val="center"/>
          </w:tcPr>
          <w:p>
            <w:pPr>
              <w:pStyle w:val="88"/>
              <w:spacing w:line="480" w:lineRule="exact"/>
              <w:jc w:val="center"/>
              <w:rPr>
                <w:rFonts w:hint="default"/>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242</w:t>
            </w:r>
          </w:p>
        </w:tc>
        <w:tc>
          <w:tcPr>
            <w:tcW w:w="1429" w:type="dxa"/>
            <w:tcBorders>
              <w:top w:val="nil"/>
              <w:left w:val="single" w:color="000000" w:sz="4" w:space="0"/>
              <w:bottom w:val="single" w:color="000000" w:sz="4" w:space="0"/>
              <w:right w:val="single" w:color="000000" w:sz="4" w:space="0"/>
            </w:tcBorders>
            <w:vAlign w:val="center"/>
          </w:tcPr>
          <w:p>
            <w:pPr>
              <w:pStyle w:val="88"/>
              <w:spacing w:line="480" w:lineRule="exact"/>
              <w:jc w:val="center"/>
              <w:rPr>
                <w:rFonts w:hint="default"/>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1" w:hRule="atLeast"/>
        </w:trPr>
        <w:tc>
          <w:tcPr>
            <w:tcW w:w="2838" w:type="dxa"/>
            <w:gridSpan w:val="2"/>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r>
              <w:rPr>
                <w:rFonts w:hint="eastAsia"/>
                <w:color w:val="000000" w:themeColor="text1"/>
                <w:sz w:val="18"/>
                <w:lang w:val="zh-CN"/>
                <w14:textFill>
                  <w14:solidFill>
                    <w14:schemeClr w14:val="tx1"/>
                  </w14:solidFill>
                </w14:textFill>
              </w:rPr>
              <w:t>合计</w:t>
            </w:r>
          </w:p>
        </w:tc>
        <w:tc>
          <w:tcPr>
            <w:tcW w:w="1122" w:type="dxa"/>
            <w:tcBorders>
              <w:top w:val="single" w:color="000000" w:sz="4" w:space="0"/>
              <w:left w:val="single" w:color="000000" w:sz="4" w:space="0"/>
              <w:bottom w:val="single" w:color="auto" w:sz="4" w:space="0"/>
              <w:right w:val="single" w:color="000000" w:sz="4" w:space="0"/>
            </w:tcBorders>
            <w:vAlign w:val="center"/>
          </w:tcPr>
          <w:p>
            <w:pPr>
              <w:pStyle w:val="88"/>
              <w:spacing w:line="480" w:lineRule="exact"/>
              <w:jc w:val="center"/>
              <w:rPr>
                <w:rFonts w:hint="default"/>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257</w:t>
            </w:r>
          </w:p>
        </w:tc>
        <w:tc>
          <w:tcPr>
            <w:tcW w:w="1155" w:type="dxa"/>
            <w:tcBorders>
              <w:top w:val="single" w:color="000000" w:sz="4" w:space="0"/>
              <w:left w:val="single" w:color="000000" w:sz="4" w:space="0"/>
              <w:bottom w:val="single" w:color="auto" w:sz="4" w:space="0"/>
              <w:right w:val="single" w:color="000000" w:sz="4" w:space="0"/>
            </w:tcBorders>
            <w:vAlign w:val="center"/>
          </w:tcPr>
          <w:p>
            <w:pPr>
              <w:pStyle w:val="88"/>
              <w:spacing w:line="480" w:lineRule="exact"/>
              <w:jc w:val="center"/>
              <w:rPr>
                <w:rFonts w:hint="default"/>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4632</w:t>
            </w:r>
          </w:p>
        </w:tc>
        <w:tc>
          <w:tcPr>
            <w:tcW w:w="1343" w:type="dxa"/>
            <w:tcBorders>
              <w:top w:val="single" w:color="000000" w:sz="4" w:space="0"/>
              <w:left w:val="single" w:color="000000" w:sz="4" w:space="0"/>
              <w:bottom w:val="single" w:color="auto" w:sz="4" w:space="0"/>
              <w:right w:val="single" w:color="000000" w:sz="4" w:space="0"/>
            </w:tcBorders>
            <w:vAlign w:val="center"/>
          </w:tcPr>
          <w:p>
            <w:pPr>
              <w:pStyle w:val="88"/>
              <w:spacing w:line="480" w:lineRule="exact"/>
              <w:jc w:val="center"/>
              <w:rPr>
                <w:rFonts w:hint="default"/>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2297</w:t>
            </w:r>
          </w:p>
        </w:tc>
        <w:tc>
          <w:tcPr>
            <w:tcW w:w="1473" w:type="dxa"/>
            <w:tcBorders>
              <w:top w:val="single" w:color="000000" w:sz="4" w:space="0"/>
              <w:left w:val="single" w:color="000000" w:sz="4" w:space="0"/>
              <w:bottom w:val="single" w:color="auto" w:sz="4" w:space="0"/>
              <w:right w:val="single" w:color="000000" w:sz="4" w:space="0"/>
            </w:tcBorders>
            <w:vAlign w:val="center"/>
          </w:tcPr>
          <w:p>
            <w:pPr>
              <w:pStyle w:val="88"/>
              <w:spacing w:line="480" w:lineRule="exact"/>
              <w:jc w:val="center"/>
              <w:rPr>
                <w:rFonts w:hint="default"/>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2335</w:t>
            </w:r>
          </w:p>
        </w:tc>
        <w:tc>
          <w:tcPr>
            <w:tcW w:w="1429" w:type="dxa"/>
            <w:tcBorders>
              <w:top w:val="single" w:color="000000" w:sz="4" w:space="0"/>
              <w:left w:val="single" w:color="000000" w:sz="4" w:space="0"/>
              <w:bottom w:val="single" w:color="auto" w:sz="4" w:space="0"/>
              <w:right w:val="single" w:color="000000" w:sz="4" w:space="0"/>
            </w:tcBorders>
            <w:vAlign w:val="center"/>
          </w:tcPr>
          <w:p>
            <w:pPr>
              <w:pStyle w:val="88"/>
              <w:spacing w:line="480" w:lineRule="exact"/>
              <w:jc w:val="center"/>
              <w:rPr>
                <w:color w:val="000000" w:themeColor="text1"/>
                <w:sz w:val="18"/>
                <w:lang w:val="zh-CN"/>
                <w14:textFill>
                  <w14:solidFill>
                    <w14:schemeClr w14:val="tx1"/>
                  </w14:solidFill>
                </w14:textFill>
              </w:rPr>
            </w:pPr>
            <w:r>
              <w:rPr>
                <w:rFonts w:hint="eastAsia"/>
                <w:color w:val="000000" w:themeColor="text1"/>
                <w:sz w:val="18"/>
                <w:lang w:val="zh-CN"/>
                <w14:textFill>
                  <w14:solidFill>
                    <w14:schemeClr w14:val="tx1"/>
                  </w14:solidFill>
                </w14:textFill>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1" w:hRule="atLeast"/>
        </w:trPr>
        <w:tc>
          <w:tcPr>
            <w:tcW w:w="5115" w:type="dxa"/>
            <w:gridSpan w:val="4"/>
            <w:tcBorders>
              <w:top w:val="single" w:color="000000" w:sz="4" w:space="0"/>
              <w:left w:val="single" w:color="000000" w:sz="4" w:space="0"/>
              <w:bottom w:val="single" w:color="000000" w:sz="4" w:space="0"/>
              <w:right w:val="single" w:color="000000" w:sz="4" w:space="0"/>
            </w:tcBorders>
            <w:vAlign w:val="center"/>
          </w:tcPr>
          <w:p>
            <w:pPr>
              <w:pStyle w:val="88"/>
              <w:spacing w:line="480" w:lineRule="exact"/>
              <w:jc w:val="center"/>
              <w:rPr>
                <w:rFonts w:hint="default"/>
                <w:color w:val="000000" w:themeColor="text1"/>
                <w:sz w:val="18"/>
                <w:lang w:val="en-US" w:eastAsia="zh-CN"/>
                <w14:textFill>
                  <w14:solidFill>
                    <w14:schemeClr w14:val="tx1"/>
                  </w14:solidFill>
                </w14:textFill>
              </w:rPr>
            </w:pPr>
            <w:bookmarkStart w:id="0" w:name="_Toc14295"/>
            <w:r>
              <w:rPr>
                <w:rFonts w:hint="eastAsia"/>
                <w:color w:val="000000" w:themeColor="text1"/>
                <w:sz w:val="18"/>
                <w:lang w:val="en-US" w:eastAsia="zh-CN"/>
                <w14:textFill>
                  <w14:solidFill>
                    <w14:schemeClr w14:val="tx1"/>
                  </w14:solidFill>
                </w14:textFill>
              </w:rPr>
              <w:t>理论教学时数%；实践教学时%</w:t>
            </w:r>
          </w:p>
        </w:tc>
        <w:tc>
          <w:tcPr>
            <w:tcW w:w="4245" w:type="dxa"/>
            <w:gridSpan w:val="3"/>
            <w:tcBorders>
              <w:top w:val="single" w:color="auto" w:sz="4" w:space="0"/>
              <w:left w:val="single" w:color="000000" w:sz="4" w:space="0"/>
              <w:bottom w:val="single" w:color="auto" w:sz="4" w:space="0"/>
              <w:right w:val="single" w:color="auto" w:sz="4" w:space="0"/>
            </w:tcBorders>
            <w:vAlign w:val="center"/>
          </w:tcPr>
          <w:p>
            <w:pPr>
              <w:pStyle w:val="88"/>
              <w:spacing w:line="480" w:lineRule="exact"/>
              <w:jc w:val="center"/>
              <w:rPr>
                <w:rFonts w:hint="default"/>
                <w:color w:val="000000" w:themeColor="text1"/>
                <w:sz w:val="18"/>
                <w:lang w:val="en-US" w:eastAsia="zh-CN"/>
                <w14:textFill>
                  <w14:solidFill>
                    <w14:schemeClr w14:val="tx1"/>
                  </w14:solidFill>
                </w14:textFill>
              </w:rPr>
            </w:pPr>
            <w:r>
              <w:rPr>
                <w:rFonts w:hint="eastAsia"/>
                <w:color w:val="000000" w:themeColor="text1"/>
                <w:sz w:val="18"/>
                <w:lang w:val="en-US" w:eastAsia="zh-CN"/>
                <w14:textFill>
                  <w14:solidFill>
                    <w14:schemeClr w14:val="tx1"/>
                  </w14:solidFill>
                </w14:textFill>
              </w:rPr>
              <w:t>49%；51%</w:t>
            </w:r>
          </w:p>
        </w:tc>
      </w:tr>
      <w:bookmarkEnd w:id="0"/>
    </w:tbl>
    <w:p>
      <w:pPr>
        <w:spacing w:line="400" w:lineRule="exact"/>
        <w:jc w:val="left"/>
        <w:rPr>
          <w:rStyle w:val="24"/>
          <w:rFonts w:asciiTheme="minorEastAsia" w:hAnsiTheme="minorEastAsia"/>
          <w:sz w:val="24"/>
        </w:rPr>
      </w:pPr>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roman"/>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1" w:lineRule="auto"/>
      <w:ind w:left="4814"/>
      <w:rPr>
        <w:rFonts w:ascii="宋体" w:hAnsi="宋体" w:eastAsia="宋体" w:cs="宋体"/>
        <w:sz w:val="16"/>
        <w:szCs w:val="16"/>
      </w:rPr>
    </w:pPr>
    <w:r>
      <w:rPr>
        <w:rFonts w:ascii="宋体" w:hAnsi="宋体" w:eastAsia="宋体" w:cs="宋体"/>
        <w:spacing w:val="-3"/>
        <w:sz w:val="16"/>
        <w:szCs w:val="16"/>
      </w:rPr>
      <w:t>73</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spacing w:line="220" w:lineRule="auto"/>
      <w:ind w:left="3186"/>
      <w:rPr>
        <w:rFonts w:hint="eastAsia" w:ascii="宋体" w:hAnsi="宋体" w:cs="宋体" w:eastAsiaTheme="minorEastAsia"/>
        <w:sz w:val="18"/>
        <w:szCs w:val="18"/>
        <w:lang w:val="en-US" w:eastAsia="zh-CN"/>
      </w:rPr>
    </w:pPr>
    <w:r>
      <mc:AlternateContent>
        <mc:Choice Requires="wps">
          <w:drawing>
            <wp:anchor distT="0" distB="0" distL="114300" distR="114300" simplePos="0" relativeHeight="251660288" behindDoc="0" locked="0" layoutInCell="0" allowOverlap="1">
              <wp:simplePos x="0" y="0"/>
              <wp:positionH relativeFrom="page">
                <wp:posOffset>1122680</wp:posOffset>
              </wp:positionH>
              <wp:positionV relativeFrom="page">
                <wp:posOffset>701040</wp:posOffset>
              </wp:positionV>
              <wp:extent cx="5314950" cy="9525"/>
              <wp:effectExtent l="0" t="0" r="0" b="0"/>
              <wp:wrapNone/>
              <wp:docPr id="10" name="任意多边形 10"/>
              <wp:cNvGraphicFramePr/>
              <a:graphic xmlns:a="http://schemas.openxmlformats.org/drawingml/2006/main">
                <a:graphicData uri="http://schemas.microsoft.com/office/word/2010/wordprocessingShape">
                  <wps:wsp>
                    <wps:cNvSpPr/>
                    <wps:spPr>
                      <a:xfrm>
                        <a:off x="0" y="0"/>
                        <a:ext cx="5314950" cy="9525"/>
                      </a:xfrm>
                      <a:custGeom>
                        <a:avLst/>
                        <a:gdLst/>
                        <a:ahLst/>
                        <a:cxnLst/>
                        <a:pathLst>
                          <a:path w="8370" h="15">
                            <a:moveTo>
                              <a:pt x="0" y="7"/>
                            </a:moveTo>
                            <a:lnTo>
                              <a:pt x="8370" y="7"/>
                            </a:lnTo>
                          </a:path>
                        </a:pathLst>
                      </a:custGeom>
                      <a:noFill/>
                      <a:ln w="9525" cap="flat" cmpd="sng">
                        <a:solidFill>
                          <a:srgbClr val="000000"/>
                        </a:solidFill>
                        <a:prstDash val="solid"/>
                        <a:miter lim="1000000"/>
                        <a:headEnd type="none" w="med" len="med"/>
                        <a:tailEnd type="none" w="med" len="med"/>
                      </a:ln>
                    </wps:spPr>
                    <wps:bodyPr upright="1"/>
                  </wps:wsp>
                </a:graphicData>
              </a:graphic>
            </wp:anchor>
          </w:drawing>
        </mc:Choice>
        <mc:Fallback>
          <w:pict>
            <v:shape id="_x0000_s1026" o:spid="_x0000_s1026" o:spt="100" style="position:absolute;left:0pt;margin-left:88.4pt;margin-top:55.2pt;height:0.75pt;width:418.5pt;mso-position-horizontal-relative:page;mso-position-vertical-relative:page;z-index:251660288;mso-width-relative:page;mso-height-relative:page;" filled="f" stroked="t" coordsize="8370,15" o:allowincell="f" o:gfxdata="UEsDBAoAAAAAAIdO4kAAAAAAAAAAAAAAAAAEAAAAZHJzL1BLAwQUAAAACACHTuJADUUjzNcAAAAM&#10;AQAADwAAAGRycy9kb3ducmV2LnhtbE2PMU/DMBCFdyT+g3VILIjaJhAgxOlQqWKBgQK7G1+TiPgc&#10;Yict/57LBNu9d0/vvivXJ9+LGcfYBTKgVwoEUh1cR42Bj/ft9QOImCw52wdCAz8YYV2dn5W2cOFI&#10;bzjvUiO4hGJhDbQpDYWUsW7R27gKAxLvDmH0NrEcG+lGe+Ry38sbpXLpbUd8obUDblqsv3aTN3AV&#10;5sOz+t5k2ct27O7yT+mn19mYywutnkAkPKW/MCz4jA4VM+3DRC6KnvV9zuiJB61uQSwJpTO29oul&#10;H0FWpfz/RPULUEsDBBQAAAAIAIdO4kAM5zy7QAIAAKYEAAAOAAAAZHJzL2Uyb0RvYy54bWytVM1u&#10;EzEQviPxDpbvZJOU0HaVTQ+EckFQqeUBJrY3a8l/sp1scufOnSPiJVBVnoYiHoOxd/NDueTAHnbH&#10;nvE333ye2enVRiuyFj5Iayo6GgwpEYZZLs2yoh/vrl9cUBIiGA7KGlHRrQj0avb82bR1pRjbxiou&#10;PEEQE8rWVbSJ0ZVFEVgjNISBdcKgs7ZeQ8SlXxbcQ4voWhXj4fBV0VrPnbdMhIC7885Je0R/CqCt&#10;a8nE3LKVFiZ2qF4oiFhSaKQLdJbZ1rVg8UNdBxGJqihWGvMbk6C9SO9iNoVy6cE1kvUU4BQKT2rS&#10;IA0m3UPNIQJZefkPlJbM22DrOGBWF10hWRGsYjR8os1tA07kWlDq4Paih/8Hy96vbzyRHDsBJTGg&#10;8cZ/3t//+vT58duX3z++Pz58JehBmVoXSoy+dTe+XwU0U82b2uv0xWrIJku73UsrNpEw3JycjV5e&#10;TjAFQ9/lZDxJkMXhLFuF+FbYjAPrdyF2F8N3FjQ7i23MznQQ03bKnUzSVvTi7ByTNFjOJN+Htmtx&#10;Z3NEPJA777MfvMocR3UoyHQX2LmRb8qTie9z4+YxeWOvpVKZvTKJUS6WMMBRqbFFUQHtUO5glplg&#10;sErydCRxDH65eK08WUNq1/z0TP8Kcz7EOYSmi8uuFAallhFnU0mdrnN/HMpGAH9jOIlbh/drcK5p&#10;oqYFp0QJ/A0kKyNEkOqUSKxaGRQidUXXB8laWL7Fdlo5L5cNztoos08ebN8sWz9qaT6O1xnp8HuZ&#10;/Q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NRSPM1wAAAAwBAAAPAAAAAAAAAAEAIAAAACIAAABk&#10;cnMvZG93bnJldi54bWxQSwECFAAUAAAACACHTuJADOc8u0ACAACmBAAADgAAAAAAAAABACAAAAAm&#10;AQAAZHJzL2Uyb0RvYy54bWxQSwUGAAAAAAYABgBZAQAA2AUAAAAA&#10;" path="m0,7l8370,7e">
              <v:fill on="f" focussize="0,0"/>
              <v:stroke color="#000000" miterlimit="10" joinstyle="miter"/>
              <v:imagedata o:title=""/>
              <o:lock v:ext="edit" aspectratio="f"/>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88842A"/>
    <w:multiLevelType w:val="singleLevel"/>
    <w:tmpl w:val="C788842A"/>
    <w:lvl w:ilvl="0" w:tentative="0">
      <w:start w:val="1"/>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1MmM2MjNkYzBjZTczNjJjODJmN2M4YTQ1NmQyMWYifQ=="/>
  </w:docVars>
  <w:rsids>
    <w:rsidRoot w:val="0E2A5FDD"/>
    <w:rsid w:val="0001745C"/>
    <w:rsid w:val="0005045B"/>
    <w:rsid w:val="000D1087"/>
    <w:rsid w:val="001120E3"/>
    <w:rsid w:val="00147464"/>
    <w:rsid w:val="001F5B1A"/>
    <w:rsid w:val="00272509"/>
    <w:rsid w:val="00292D52"/>
    <w:rsid w:val="002A5ABE"/>
    <w:rsid w:val="00311E03"/>
    <w:rsid w:val="00342A82"/>
    <w:rsid w:val="003431EF"/>
    <w:rsid w:val="003B1A02"/>
    <w:rsid w:val="003D07AC"/>
    <w:rsid w:val="003F5EE7"/>
    <w:rsid w:val="004373D7"/>
    <w:rsid w:val="00493593"/>
    <w:rsid w:val="004A2B7E"/>
    <w:rsid w:val="004B4528"/>
    <w:rsid w:val="005009AC"/>
    <w:rsid w:val="005245B9"/>
    <w:rsid w:val="00532579"/>
    <w:rsid w:val="005350C0"/>
    <w:rsid w:val="005578F0"/>
    <w:rsid w:val="00590D38"/>
    <w:rsid w:val="005D5422"/>
    <w:rsid w:val="006353A2"/>
    <w:rsid w:val="006904AC"/>
    <w:rsid w:val="006B6FDD"/>
    <w:rsid w:val="006D05AE"/>
    <w:rsid w:val="006F2BDC"/>
    <w:rsid w:val="00714859"/>
    <w:rsid w:val="007871F4"/>
    <w:rsid w:val="00787C13"/>
    <w:rsid w:val="007A3D21"/>
    <w:rsid w:val="007C1417"/>
    <w:rsid w:val="00834170"/>
    <w:rsid w:val="00840AAB"/>
    <w:rsid w:val="00872090"/>
    <w:rsid w:val="008720C2"/>
    <w:rsid w:val="00892429"/>
    <w:rsid w:val="008E1C94"/>
    <w:rsid w:val="008E5F1D"/>
    <w:rsid w:val="00900E83"/>
    <w:rsid w:val="009661C8"/>
    <w:rsid w:val="0098438B"/>
    <w:rsid w:val="009B0C02"/>
    <w:rsid w:val="009B7CE5"/>
    <w:rsid w:val="009D1EC2"/>
    <w:rsid w:val="009F0287"/>
    <w:rsid w:val="00A245BB"/>
    <w:rsid w:val="00A311D2"/>
    <w:rsid w:val="00A328D3"/>
    <w:rsid w:val="00A42231"/>
    <w:rsid w:val="00A42AC2"/>
    <w:rsid w:val="00A61ABC"/>
    <w:rsid w:val="00AA08E0"/>
    <w:rsid w:val="00AC281E"/>
    <w:rsid w:val="00AC2E06"/>
    <w:rsid w:val="00AC6AB5"/>
    <w:rsid w:val="00AD5BC9"/>
    <w:rsid w:val="00AE7B5F"/>
    <w:rsid w:val="00B93F58"/>
    <w:rsid w:val="00BD2601"/>
    <w:rsid w:val="00C0509A"/>
    <w:rsid w:val="00C16523"/>
    <w:rsid w:val="00C16D05"/>
    <w:rsid w:val="00C6594A"/>
    <w:rsid w:val="00C76F4D"/>
    <w:rsid w:val="00CA40BA"/>
    <w:rsid w:val="00CE136F"/>
    <w:rsid w:val="00CE76A1"/>
    <w:rsid w:val="00D12D27"/>
    <w:rsid w:val="00D13A42"/>
    <w:rsid w:val="00D262CB"/>
    <w:rsid w:val="00E21D67"/>
    <w:rsid w:val="00E56301"/>
    <w:rsid w:val="00E601C3"/>
    <w:rsid w:val="00E66243"/>
    <w:rsid w:val="00E7279D"/>
    <w:rsid w:val="00EC1A73"/>
    <w:rsid w:val="00EE0304"/>
    <w:rsid w:val="00F2798E"/>
    <w:rsid w:val="00F3657E"/>
    <w:rsid w:val="00F50D6A"/>
    <w:rsid w:val="00F623F9"/>
    <w:rsid w:val="00F93DA3"/>
    <w:rsid w:val="00FA6DEE"/>
    <w:rsid w:val="00FB4547"/>
    <w:rsid w:val="00FC163D"/>
    <w:rsid w:val="00FC3C99"/>
    <w:rsid w:val="00FF51D5"/>
    <w:rsid w:val="011A6D0D"/>
    <w:rsid w:val="0134652E"/>
    <w:rsid w:val="01815BAA"/>
    <w:rsid w:val="01967DCC"/>
    <w:rsid w:val="01C20BC1"/>
    <w:rsid w:val="025A4856"/>
    <w:rsid w:val="03373831"/>
    <w:rsid w:val="04930DF6"/>
    <w:rsid w:val="05B80C59"/>
    <w:rsid w:val="060A2B37"/>
    <w:rsid w:val="065F18AC"/>
    <w:rsid w:val="068F128E"/>
    <w:rsid w:val="06D22B45"/>
    <w:rsid w:val="06FC2DC7"/>
    <w:rsid w:val="072A7934"/>
    <w:rsid w:val="07C02605"/>
    <w:rsid w:val="07CB0CF1"/>
    <w:rsid w:val="084E35B6"/>
    <w:rsid w:val="087E43CC"/>
    <w:rsid w:val="0887415A"/>
    <w:rsid w:val="09706383"/>
    <w:rsid w:val="09BC05EC"/>
    <w:rsid w:val="0A6F565E"/>
    <w:rsid w:val="0AFC5785"/>
    <w:rsid w:val="0B6B051B"/>
    <w:rsid w:val="0CDB3D0C"/>
    <w:rsid w:val="0D3425AF"/>
    <w:rsid w:val="0E201307"/>
    <w:rsid w:val="0E2A5FDD"/>
    <w:rsid w:val="0E6376EE"/>
    <w:rsid w:val="0ECA48A7"/>
    <w:rsid w:val="0F4075C9"/>
    <w:rsid w:val="0F501F02"/>
    <w:rsid w:val="0FB12275"/>
    <w:rsid w:val="0FD4105D"/>
    <w:rsid w:val="10747DE7"/>
    <w:rsid w:val="10C63908"/>
    <w:rsid w:val="10D370FE"/>
    <w:rsid w:val="10D6562B"/>
    <w:rsid w:val="10E01064"/>
    <w:rsid w:val="11721F69"/>
    <w:rsid w:val="11B71227"/>
    <w:rsid w:val="11E5224E"/>
    <w:rsid w:val="124B5F39"/>
    <w:rsid w:val="12E97C02"/>
    <w:rsid w:val="1319085D"/>
    <w:rsid w:val="13347F43"/>
    <w:rsid w:val="137F6975"/>
    <w:rsid w:val="138E46F1"/>
    <w:rsid w:val="139954AB"/>
    <w:rsid w:val="13E31D65"/>
    <w:rsid w:val="13FA41EA"/>
    <w:rsid w:val="140F5693"/>
    <w:rsid w:val="14221993"/>
    <w:rsid w:val="14A16D5C"/>
    <w:rsid w:val="14C06E6A"/>
    <w:rsid w:val="14DF1632"/>
    <w:rsid w:val="150E5DEE"/>
    <w:rsid w:val="154A629A"/>
    <w:rsid w:val="155E2E9F"/>
    <w:rsid w:val="15625D71"/>
    <w:rsid w:val="157F7D78"/>
    <w:rsid w:val="15840A92"/>
    <w:rsid w:val="16C3745D"/>
    <w:rsid w:val="16F31C9B"/>
    <w:rsid w:val="16F72C63"/>
    <w:rsid w:val="1703628C"/>
    <w:rsid w:val="17D862A3"/>
    <w:rsid w:val="18003D99"/>
    <w:rsid w:val="18356139"/>
    <w:rsid w:val="18CE59FC"/>
    <w:rsid w:val="18E13BCB"/>
    <w:rsid w:val="195852E0"/>
    <w:rsid w:val="19704F4F"/>
    <w:rsid w:val="1B8E48FD"/>
    <w:rsid w:val="1B996AE0"/>
    <w:rsid w:val="1BCD6688"/>
    <w:rsid w:val="1C297D63"/>
    <w:rsid w:val="1C6C40F3"/>
    <w:rsid w:val="1CB3762C"/>
    <w:rsid w:val="1D2A4711"/>
    <w:rsid w:val="1D3A1AFC"/>
    <w:rsid w:val="1D943902"/>
    <w:rsid w:val="1E294391"/>
    <w:rsid w:val="1E4B1135"/>
    <w:rsid w:val="1ECA6EAF"/>
    <w:rsid w:val="1EDD2BD8"/>
    <w:rsid w:val="208539D6"/>
    <w:rsid w:val="21344E89"/>
    <w:rsid w:val="22043D53"/>
    <w:rsid w:val="22123047"/>
    <w:rsid w:val="22486A69"/>
    <w:rsid w:val="225E003A"/>
    <w:rsid w:val="233314C7"/>
    <w:rsid w:val="23581286"/>
    <w:rsid w:val="23D36806"/>
    <w:rsid w:val="246C6A51"/>
    <w:rsid w:val="24835586"/>
    <w:rsid w:val="25A01E14"/>
    <w:rsid w:val="262E3F38"/>
    <w:rsid w:val="26826568"/>
    <w:rsid w:val="28397580"/>
    <w:rsid w:val="29310257"/>
    <w:rsid w:val="29E60117"/>
    <w:rsid w:val="2A992557"/>
    <w:rsid w:val="2AD63996"/>
    <w:rsid w:val="2AD853DF"/>
    <w:rsid w:val="2B84031D"/>
    <w:rsid w:val="2C792640"/>
    <w:rsid w:val="2C9A6113"/>
    <w:rsid w:val="2CD94E8D"/>
    <w:rsid w:val="2CEA44B0"/>
    <w:rsid w:val="2D104627"/>
    <w:rsid w:val="2E224155"/>
    <w:rsid w:val="2E77670B"/>
    <w:rsid w:val="2E7862BF"/>
    <w:rsid w:val="2F4F58DB"/>
    <w:rsid w:val="2FBB34EB"/>
    <w:rsid w:val="30054FF9"/>
    <w:rsid w:val="309420DE"/>
    <w:rsid w:val="30E738F1"/>
    <w:rsid w:val="32ED278C"/>
    <w:rsid w:val="330322D6"/>
    <w:rsid w:val="33CD6DCE"/>
    <w:rsid w:val="354726AC"/>
    <w:rsid w:val="36E83F1F"/>
    <w:rsid w:val="37040D59"/>
    <w:rsid w:val="37BE35FD"/>
    <w:rsid w:val="38145416"/>
    <w:rsid w:val="386A108F"/>
    <w:rsid w:val="38FE1C93"/>
    <w:rsid w:val="39ED1F78"/>
    <w:rsid w:val="39FF1CAB"/>
    <w:rsid w:val="3A6A35C8"/>
    <w:rsid w:val="3A80146E"/>
    <w:rsid w:val="3AD15794"/>
    <w:rsid w:val="3AD644CC"/>
    <w:rsid w:val="3AE74C19"/>
    <w:rsid w:val="3AF023CF"/>
    <w:rsid w:val="3B7566C9"/>
    <w:rsid w:val="3BAA17F6"/>
    <w:rsid w:val="3BBC3771"/>
    <w:rsid w:val="3BD01B51"/>
    <w:rsid w:val="3C01137E"/>
    <w:rsid w:val="3C044F38"/>
    <w:rsid w:val="3C37397E"/>
    <w:rsid w:val="3C681D8A"/>
    <w:rsid w:val="3C685BB5"/>
    <w:rsid w:val="3D0575D8"/>
    <w:rsid w:val="3D070D4A"/>
    <w:rsid w:val="3D565DD1"/>
    <w:rsid w:val="3D5E6C9A"/>
    <w:rsid w:val="3DF064DB"/>
    <w:rsid w:val="3E0A6A15"/>
    <w:rsid w:val="3ECA6D2C"/>
    <w:rsid w:val="3ECB05ED"/>
    <w:rsid w:val="3F797F68"/>
    <w:rsid w:val="3FF5663E"/>
    <w:rsid w:val="407E5CAF"/>
    <w:rsid w:val="40D175F5"/>
    <w:rsid w:val="40EA1FC4"/>
    <w:rsid w:val="41B33AA7"/>
    <w:rsid w:val="42213106"/>
    <w:rsid w:val="42725710"/>
    <w:rsid w:val="42AD6A88"/>
    <w:rsid w:val="42BE6BA7"/>
    <w:rsid w:val="4333192F"/>
    <w:rsid w:val="4349462B"/>
    <w:rsid w:val="43673409"/>
    <w:rsid w:val="43915C39"/>
    <w:rsid w:val="43E268C5"/>
    <w:rsid w:val="44354C47"/>
    <w:rsid w:val="447B4624"/>
    <w:rsid w:val="448259B3"/>
    <w:rsid w:val="459B56C8"/>
    <w:rsid w:val="46D33AA8"/>
    <w:rsid w:val="474D674C"/>
    <w:rsid w:val="47684CD2"/>
    <w:rsid w:val="479F0EFD"/>
    <w:rsid w:val="47BA05BF"/>
    <w:rsid w:val="48060690"/>
    <w:rsid w:val="48435459"/>
    <w:rsid w:val="4880045B"/>
    <w:rsid w:val="489B7043"/>
    <w:rsid w:val="49675177"/>
    <w:rsid w:val="49736EE4"/>
    <w:rsid w:val="49AB1508"/>
    <w:rsid w:val="49AF5757"/>
    <w:rsid w:val="49D97E23"/>
    <w:rsid w:val="4A3B0ADD"/>
    <w:rsid w:val="4A3E237C"/>
    <w:rsid w:val="4A443459"/>
    <w:rsid w:val="4AC06981"/>
    <w:rsid w:val="4AD7492D"/>
    <w:rsid w:val="4B447E66"/>
    <w:rsid w:val="4B9506C1"/>
    <w:rsid w:val="4BE40D01"/>
    <w:rsid w:val="4CFB4554"/>
    <w:rsid w:val="4D337836"/>
    <w:rsid w:val="4F93316A"/>
    <w:rsid w:val="4FE9757D"/>
    <w:rsid w:val="503262BE"/>
    <w:rsid w:val="5071708D"/>
    <w:rsid w:val="51201109"/>
    <w:rsid w:val="51583D23"/>
    <w:rsid w:val="51BD627C"/>
    <w:rsid w:val="520F6513"/>
    <w:rsid w:val="523A5B1F"/>
    <w:rsid w:val="52EA30A1"/>
    <w:rsid w:val="52F808B3"/>
    <w:rsid w:val="531445C2"/>
    <w:rsid w:val="53FD147E"/>
    <w:rsid w:val="54352A41"/>
    <w:rsid w:val="54F52096"/>
    <w:rsid w:val="558E065B"/>
    <w:rsid w:val="55C220B3"/>
    <w:rsid w:val="55E4027B"/>
    <w:rsid w:val="573F72D8"/>
    <w:rsid w:val="575925A3"/>
    <w:rsid w:val="585D50BE"/>
    <w:rsid w:val="5864776B"/>
    <w:rsid w:val="586B4C84"/>
    <w:rsid w:val="58702197"/>
    <w:rsid w:val="58712856"/>
    <w:rsid w:val="5A180676"/>
    <w:rsid w:val="5A49445D"/>
    <w:rsid w:val="5A855CF7"/>
    <w:rsid w:val="5B257459"/>
    <w:rsid w:val="5C343C60"/>
    <w:rsid w:val="5CC826A5"/>
    <w:rsid w:val="5D62278B"/>
    <w:rsid w:val="5D757F2A"/>
    <w:rsid w:val="5DC213F1"/>
    <w:rsid w:val="5E1048BB"/>
    <w:rsid w:val="5E8C325E"/>
    <w:rsid w:val="5FE86B7B"/>
    <w:rsid w:val="605E53B0"/>
    <w:rsid w:val="623600B0"/>
    <w:rsid w:val="624659BE"/>
    <w:rsid w:val="62562501"/>
    <w:rsid w:val="6320666B"/>
    <w:rsid w:val="634C3904"/>
    <w:rsid w:val="64781B84"/>
    <w:rsid w:val="64F102BF"/>
    <w:rsid w:val="651D2E62"/>
    <w:rsid w:val="65E63500"/>
    <w:rsid w:val="65FD7A01"/>
    <w:rsid w:val="664F0CB2"/>
    <w:rsid w:val="6652619F"/>
    <w:rsid w:val="665E4DB3"/>
    <w:rsid w:val="66CD08B8"/>
    <w:rsid w:val="67A73CFD"/>
    <w:rsid w:val="6ACB4585"/>
    <w:rsid w:val="6ACC6C7D"/>
    <w:rsid w:val="6BA715AB"/>
    <w:rsid w:val="6BB169FA"/>
    <w:rsid w:val="6C0F54CE"/>
    <w:rsid w:val="6C3D2E83"/>
    <w:rsid w:val="6C8E0AE9"/>
    <w:rsid w:val="6CAA3DC1"/>
    <w:rsid w:val="6F1572A0"/>
    <w:rsid w:val="6F3A4D57"/>
    <w:rsid w:val="6F8A7F3E"/>
    <w:rsid w:val="6FCD2D4F"/>
    <w:rsid w:val="6FE078AE"/>
    <w:rsid w:val="6FF43A85"/>
    <w:rsid w:val="70531C4A"/>
    <w:rsid w:val="70CB7016"/>
    <w:rsid w:val="71C1726B"/>
    <w:rsid w:val="71CF6831"/>
    <w:rsid w:val="72C72898"/>
    <w:rsid w:val="72F41D22"/>
    <w:rsid w:val="72FB69CA"/>
    <w:rsid w:val="734C0DB6"/>
    <w:rsid w:val="73F12089"/>
    <w:rsid w:val="73FC458A"/>
    <w:rsid w:val="74AB4636"/>
    <w:rsid w:val="74DC522F"/>
    <w:rsid w:val="74EE278D"/>
    <w:rsid w:val="75322DEC"/>
    <w:rsid w:val="758127C3"/>
    <w:rsid w:val="75CD2682"/>
    <w:rsid w:val="75CF01A8"/>
    <w:rsid w:val="76263E3D"/>
    <w:rsid w:val="765C57B4"/>
    <w:rsid w:val="76FD35AD"/>
    <w:rsid w:val="77542003"/>
    <w:rsid w:val="77560455"/>
    <w:rsid w:val="77B77409"/>
    <w:rsid w:val="77C27899"/>
    <w:rsid w:val="787B2F24"/>
    <w:rsid w:val="78A84CE1"/>
    <w:rsid w:val="78EF259F"/>
    <w:rsid w:val="79584959"/>
    <w:rsid w:val="796105BF"/>
    <w:rsid w:val="79FA6D43"/>
    <w:rsid w:val="7A304F8E"/>
    <w:rsid w:val="7A744586"/>
    <w:rsid w:val="7A8145AB"/>
    <w:rsid w:val="7B314D0D"/>
    <w:rsid w:val="7B4F5DDC"/>
    <w:rsid w:val="7BD81D81"/>
    <w:rsid w:val="7C051FEF"/>
    <w:rsid w:val="7CE704CD"/>
    <w:rsid w:val="7D5072B1"/>
    <w:rsid w:val="7EA36676"/>
    <w:rsid w:val="7F2A0691"/>
    <w:rsid w:val="7F6E0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1"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5"/>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89"/>
    <w:qFormat/>
    <w:uiPriority w:val="1"/>
    <w:pPr>
      <w:autoSpaceDE w:val="0"/>
      <w:autoSpaceDN w:val="0"/>
      <w:ind w:left="1596"/>
      <w:jc w:val="left"/>
      <w:outlineLvl w:val="2"/>
    </w:pPr>
    <w:rPr>
      <w:rFonts w:ascii="仿宋" w:hAnsi="仿宋" w:eastAsia="仿宋" w:cs="仿宋"/>
      <w:b/>
      <w:bCs/>
      <w:kern w:val="0"/>
      <w:sz w:val="24"/>
      <w:lang w:eastAsia="en-US"/>
    </w:rPr>
  </w:style>
  <w:style w:type="paragraph" w:styleId="5">
    <w:name w:val="heading 4"/>
    <w:basedOn w:val="1"/>
    <w:next w:val="1"/>
    <w:unhideWhenUsed/>
    <w:qFormat/>
    <w:uiPriority w:val="9"/>
    <w:pPr>
      <w:keepNext/>
      <w:keepLines/>
      <w:spacing w:before="240" w:after="240" w:line="264" w:lineRule="auto"/>
      <w:ind w:firstLine="425"/>
      <w:outlineLvl w:val="3"/>
    </w:pPr>
    <w:rPr>
      <w:rFonts w:ascii="Times New Roman" w:hAnsi="Times New Roman" w:eastAsia="宋体" w:cstheme="majorBidi"/>
      <w:b/>
      <w:bCs/>
      <w:sz w:val="24"/>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widowControl/>
      <w:spacing w:before="100" w:beforeAutospacing="1" w:after="100" w:afterAutospacing="1"/>
      <w:jc w:val="left"/>
    </w:pPr>
    <w:rPr>
      <w:rFonts w:ascii="宋体" w:hAnsi="宋体" w:cs="宋体"/>
      <w:kern w:val="0"/>
      <w:sz w:val="24"/>
    </w:rPr>
  </w:style>
  <w:style w:type="paragraph" w:styleId="7">
    <w:name w:val="toa heading"/>
    <w:basedOn w:val="1"/>
    <w:next w:val="1"/>
    <w:unhideWhenUsed/>
    <w:qFormat/>
    <w:uiPriority w:val="99"/>
    <w:pPr>
      <w:spacing w:before="120"/>
    </w:pPr>
    <w:rPr>
      <w:rFonts w:ascii="Cambria" w:hAnsi="Cambria" w:eastAsia="宋体" w:cs="Times New Roman"/>
      <w:sz w:val="24"/>
      <w:szCs w:val="24"/>
    </w:rPr>
  </w:style>
  <w:style w:type="paragraph" w:styleId="8">
    <w:name w:val="Body Text"/>
    <w:basedOn w:val="1"/>
    <w:link w:val="87"/>
    <w:qFormat/>
    <w:uiPriority w:val="99"/>
    <w:pPr>
      <w:widowControl/>
      <w:spacing w:line="540" w:lineRule="exact"/>
      <w:jc w:val="center"/>
    </w:pPr>
    <w:rPr>
      <w:rFonts w:ascii="黑体" w:hAnsi="宋体" w:eastAsia="黑体" w:cs="Times New Roman"/>
      <w:kern w:val="0"/>
      <w:sz w:val="24"/>
    </w:rPr>
  </w:style>
  <w:style w:type="paragraph" w:styleId="9">
    <w:name w:val="Body Text Indent"/>
    <w:basedOn w:val="1"/>
    <w:qFormat/>
    <w:uiPriority w:val="0"/>
    <w:pPr>
      <w:spacing w:after="120"/>
      <w:ind w:left="420" w:leftChars="200"/>
    </w:pPr>
  </w:style>
  <w:style w:type="paragraph" w:styleId="10">
    <w:name w:val="Plain Text"/>
    <w:basedOn w:val="1"/>
    <w:qFormat/>
    <w:uiPriority w:val="0"/>
    <w:rPr>
      <w:rFonts w:ascii="宋体" w:hAnsi="Courier New"/>
      <w:szCs w:val="20"/>
    </w:rPr>
  </w:style>
  <w:style w:type="paragraph" w:styleId="11">
    <w:name w:val="Balloon Text"/>
    <w:basedOn w:val="1"/>
    <w:semiHidden/>
    <w:qFormat/>
    <w:uiPriority w:val="0"/>
    <w:rPr>
      <w:rFonts w:ascii="Times New Roman" w:hAnsi="Times New Roman"/>
      <w:sz w:val="18"/>
      <w:szCs w:val="18"/>
    </w:rPr>
  </w:style>
  <w:style w:type="paragraph" w:styleId="12">
    <w:name w:val="footer"/>
    <w:basedOn w:val="1"/>
    <w:link w:val="28"/>
    <w:qFormat/>
    <w:uiPriority w:val="99"/>
    <w:pPr>
      <w:tabs>
        <w:tab w:val="center" w:pos="4153"/>
        <w:tab w:val="right" w:pos="8306"/>
      </w:tabs>
      <w:snapToGrid w:val="0"/>
      <w:jc w:val="left"/>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style>
  <w:style w:type="paragraph" w:styleId="15">
    <w:name w:val="toc 2"/>
    <w:basedOn w:val="1"/>
    <w:next w:val="1"/>
    <w:qFormat/>
    <w:uiPriority w:val="0"/>
    <w:pPr>
      <w:ind w:left="420" w:leftChars="200"/>
    </w:pPr>
  </w:style>
  <w:style w:type="paragraph" w:styleId="16">
    <w:name w:val="Normal (Web)"/>
    <w:basedOn w:val="1"/>
    <w:qFormat/>
    <w:uiPriority w:val="0"/>
    <w:rPr>
      <w:sz w:val="24"/>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22"/>
    <w:rPr>
      <w:b/>
    </w:rPr>
  </w:style>
  <w:style w:type="character" w:styleId="21">
    <w:name w:val="page number"/>
    <w:basedOn w:val="19"/>
    <w:qFormat/>
    <w:uiPriority w:val="0"/>
  </w:style>
  <w:style w:type="character" w:styleId="22">
    <w:name w:val="FollowedHyperlink"/>
    <w:basedOn w:val="19"/>
    <w:unhideWhenUsed/>
    <w:qFormat/>
    <w:uiPriority w:val="99"/>
    <w:rPr>
      <w:color w:val="800080"/>
      <w:u w:val="single"/>
    </w:rPr>
  </w:style>
  <w:style w:type="character" w:styleId="23">
    <w:name w:val="Hyperlink"/>
    <w:basedOn w:val="19"/>
    <w:unhideWhenUsed/>
    <w:qFormat/>
    <w:uiPriority w:val="99"/>
    <w:rPr>
      <w:color w:val="0000FF"/>
      <w:u w:val="single"/>
    </w:rPr>
  </w:style>
  <w:style w:type="character" w:customStyle="1" w:styleId="24">
    <w:name w:val="NormalCharacter"/>
    <w:semiHidden/>
    <w:qFormat/>
    <w:uiPriority w:val="0"/>
  </w:style>
  <w:style w:type="character" w:customStyle="1" w:styleId="25">
    <w:name w:val="标题 1 Char"/>
    <w:basedOn w:val="19"/>
    <w:link w:val="2"/>
    <w:qFormat/>
    <w:uiPriority w:val="0"/>
    <w:rPr>
      <w:rFonts w:asciiTheme="minorHAnsi" w:hAnsiTheme="minorHAnsi" w:eastAsiaTheme="minorEastAsia" w:cstheme="minorBidi"/>
      <w:b/>
      <w:bCs/>
      <w:kern w:val="44"/>
      <w:sz w:val="44"/>
      <w:szCs w:val="44"/>
    </w:rPr>
  </w:style>
  <w:style w:type="paragraph" w:customStyle="1" w:styleId="2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7">
    <w:name w:val="页眉 Char"/>
    <w:basedOn w:val="19"/>
    <w:link w:val="13"/>
    <w:qFormat/>
    <w:uiPriority w:val="0"/>
    <w:rPr>
      <w:rFonts w:asciiTheme="minorHAnsi" w:hAnsiTheme="minorHAnsi" w:eastAsiaTheme="minorEastAsia" w:cstheme="minorBidi"/>
      <w:kern w:val="2"/>
      <w:sz w:val="18"/>
      <w:szCs w:val="18"/>
    </w:rPr>
  </w:style>
  <w:style w:type="character" w:customStyle="1" w:styleId="28">
    <w:name w:val="页脚 Char"/>
    <w:basedOn w:val="19"/>
    <w:link w:val="12"/>
    <w:qFormat/>
    <w:uiPriority w:val="99"/>
    <w:rPr>
      <w:rFonts w:asciiTheme="minorHAnsi" w:hAnsiTheme="minorHAnsi" w:eastAsiaTheme="minorEastAsia" w:cstheme="minorBidi"/>
      <w:kern w:val="2"/>
      <w:sz w:val="18"/>
      <w:szCs w:val="18"/>
    </w:rPr>
  </w:style>
  <w:style w:type="paragraph" w:customStyle="1" w:styleId="29">
    <w:name w:val="msonormal"/>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30">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31">
    <w:name w:val="xl6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宋体" w:hAnsi="宋体" w:eastAsia="宋体" w:cs="宋体"/>
      <w:color w:val="000000"/>
      <w:kern w:val="0"/>
      <w:sz w:val="24"/>
    </w:rPr>
  </w:style>
  <w:style w:type="paragraph" w:customStyle="1" w:styleId="32">
    <w:name w:val="xl66"/>
    <w:basedOn w:val="1"/>
    <w:qFormat/>
    <w:uiPriority w:val="0"/>
    <w:pPr>
      <w:widowControl/>
      <w:pBdr>
        <w:top w:val="single" w:color="auto" w:sz="8" w:space="0"/>
        <w:left w:val="single" w:color="auto" w:sz="8"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b/>
      <w:bCs/>
      <w:color w:val="000000"/>
      <w:kern w:val="0"/>
      <w:sz w:val="18"/>
      <w:szCs w:val="18"/>
    </w:rPr>
  </w:style>
  <w:style w:type="paragraph" w:customStyle="1" w:styleId="33">
    <w:name w:val="xl67"/>
    <w:basedOn w:val="1"/>
    <w:qFormat/>
    <w:uiPriority w:val="0"/>
    <w:pPr>
      <w:widowControl/>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b/>
      <w:bCs/>
      <w:color w:val="000000"/>
      <w:kern w:val="0"/>
      <w:sz w:val="18"/>
      <w:szCs w:val="18"/>
    </w:rPr>
  </w:style>
  <w:style w:type="paragraph" w:customStyle="1" w:styleId="34">
    <w:name w:val="xl68"/>
    <w:basedOn w:val="1"/>
    <w:qFormat/>
    <w:uiPriority w:val="0"/>
    <w:pPr>
      <w:widowControl/>
      <w:pBdr>
        <w:top w:val="single" w:color="auto" w:sz="8" w:space="0"/>
        <w:left w:val="single" w:color="auto" w:sz="4" w:space="0"/>
        <w:bottom w:val="single" w:color="auto" w:sz="4" w:space="0"/>
        <w:right w:val="single" w:color="auto" w:sz="8" w:space="0"/>
      </w:pBdr>
      <w:shd w:val="clear" w:color="000000" w:fill="FFFFFF"/>
      <w:spacing w:before="100" w:beforeAutospacing="1" w:after="100" w:afterAutospacing="1"/>
      <w:jc w:val="center"/>
      <w:textAlignment w:val="center"/>
    </w:pPr>
    <w:rPr>
      <w:rFonts w:ascii="宋体" w:hAnsi="宋体" w:eastAsia="宋体" w:cs="宋体"/>
      <w:b/>
      <w:bCs/>
      <w:color w:val="000000"/>
      <w:kern w:val="0"/>
      <w:sz w:val="18"/>
      <w:szCs w:val="18"/>
    </w:rPr>
  </w:style>
  <w:style w:type="paragraph" w:customStyle="1" w:styleId="35">
    <w:name w:val="xl69"/>
    <w:basedOn w:val="1"/>
    <w:qFormat/>
    <w:uiPriority w:val="0"/>
    <w:pPr>
      <w:widowControl/>
      <w:pBdr>
        <w:top w:val="single" w:color="auto" w:sz="4" w:space="0"/>
        <w:left w:val="single" w:color="auto" w:sz="8" w:space="0"/>
        <w:bottom w:val="single" w:color="auto" w:sz="8" w:space="0"/>
        <w:right w:val="single" w:color="auto" w:sz="4" w:space="0"/>
      </w:pBdr>
      <w:shd w:val="clear" w:color="000000" w:fill="FFFFFF"/>
      <w:spacing w:before="100" w:beforeAutospacing="1" w:after="100" w:afterAutospacing="1"/>
      <w:jc w:val="center"/>
      <w:textAlignment w:val="center"/>
    </w:pPr>
    <w:rPr>
      <w:rFonts w:ascii="宋体" w:hAnsi="宋体" w:eastAsia="宋体" w:cs="宋体"/>
      <w:b/>
      <w:bCs/>
      <w:color w:val="000000"/>
      <w:kern w:val="0"/>
      <w:sz w:val="18"/>
      <w:szCs w:val="18"/>
    </w:rPr>
  </w:style>
  <w:style w:type="paragraph" w:customStyle="1" w:styleId="36">
    <w:name w:val="xl70"/>
    <w:basedOn w:val="1"/>
    <w:qFormat/>
    <w:uiPriority w:val="0"/>
    <w:pPr>
      <w:widowControl/>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宋体" w:hAnsi="宋体" w:eastAsia="宋体" w:cs="宋体"/>
      <w:b/>
      <w:bCs/>
      <w:color w:val="000000"/>
      <w:kern w:val="0"/>
      <w:sz w:val="18"/>
      <w:szCs w:val="18"/>
    </w:rPr>
  </w:style>
  <w:style w:type="paragraph" w:customStyle="1" w:styleId="37">
    <w:name w:val="xl71"/>
    <w:basedOn w:val="1"/>
    <w:qFormat/>
    <w:uiPriority w:val="0"/>
    <w:pPr>
      <w:widowControl/>
      <w:pBdr>
        <w:top w:val="single" w:color="auto" w:sz="4" w:space="0"/>
        <w:left w:val="single" w:color="auto" w:sz="4"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eastAsia="宋体" w:cs="宋体"/>
      <w:b/>
      <w:bCs/>
      <w:color w:val="000000"/>
      <w:kern w:val="0"/>
      <w:sz w:val="18"/>
      <w:szCs w:val="18"/>
    </w:rPr>
  </w:style>
  <w:style w:type="paragraph" w:customStyle="1" w:styleId="38">
    <w:name w:val="xl72"/>
    <w:basedOn w:val="1"/>
    <w:qFormat/>
    <w:uiPriority w:val="0"/>
    <w:pPr>
      <w:widowControl/>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24"/>
    </w:rPr>
  </w:style>
  <w:style w:type="paragraph" w:customStyle="1" w:styleId="39">
    <w:name w:val="xl73"/>
    <w:basedOn w:val="1"/>
    <w:qFormat/>
    <w:uiPriority w:val="0"/>
    <w:pPr>
      <w:widowControl/>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40">
    <w:name w:val="xl74"/>
    <w:basedOn w:val="1"/>
    <w:qFormat/>
    <w:uiPriority w:val="0"/>
    <w:pPr>
      <w:widowControl/>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Times New Roman" w:hAnsi="Times New Roman" w:eastAsia="宋体" w:cs="Times New Roman"/>
      <w:color w:val="000000"/>
      <w:kern w:val="0"/>
      <w:sz w:val="18"/>
      <w:szCs w:val="18"/>
    </w:rPr>
  </w:style>
  <w:style w:type="paragraph" w:customStyle="1" w:styleId="41">
    <w:name w:val="xl75"/>
    <w:basedOn w:val="1"/>
    <w:qFormat/>
    <w:uiPriority w:val="0"/>
    <w:pPr>
      <w:widowControl/>
      <w:pBdr>
        <w:top w:val="single" w:color="auto" w:sz="8" w:space="0"/>
        <w:left w:val="single" w:color="auto" w:sz="4" w:space="0"/>
        <w:bottom w:val="single" w:color="auto" w:sz="4" w:space="0"/>
        <w:right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42">
    <w:name w:val="xl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24"/>
    </w:rPr>
  </w:style>
  <w:style w:type="paragraph" w:customStyle="1" w:styleId="43">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44">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Times New Roman" w:hAnsi="Times New Roman" w:eastAsia="宋体" w:cs="Times New Roman"/>
      <w:color w:val="000000"/>
      <w:kern w:val="0"/>
      <w:sz w:val="14"/>
      <w:szCs w:val="14"/>
    </w:rPr>
  </w:style>
  <w:style w:type="paragraph" w:customStyle="1" w:styleId="45">
    <w:name w:val="xl79"/>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46">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Times New Roman" w:hAnsi="Times New Roman" w:eastAsia="宋体" w:cs="Times New Roman"/>
      <w:color w:val="000000"/>
      <w:kern w:val="0"/>
      <w:sz w:val="18"/>
      <w:szCs w:val="18"/>
    </w:rPr>
  </w:style>
  <w:style w:type="paragraph" w:customStyle="1" w:styleId="47">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20"/>
      <w:szCs w:val="20"/>
    </w:rPr>
  </w:style>
  <w:style w:type="paragraph" w:customStyle="1" w:styleId="48">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24"/>
    </w:rPr>
  </w:style>
  <w:style w:type="paragraph" w:customStyle="1" w:styleId="49">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24"/>
    </w:rPr>
  </w:style>
  <w:style w:type="paragraph" w:customStyle="1" w:styleId="50">
    <w:name w:val="xl84"/>
    <w:basedOn w:val="1"/>
    <w:qFormat/>
    <w:uiPriority w:val="0"/>
    <w:pPr>
      <w:widowControl/>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51">
    <w:name w:val="xl85"/>
    <w:basedOn w:val="1"/>
    <w:qFormat/>
    <w:uiPriority w:val="0"/>
    <w:pPr>
      <w:widowControl/>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Times New Roman" w:hAnsi="Times New Roman" w:eastAsia="宋体" w:cs="Times New Roman"/>
      <w:color w:val="000000"/>
      <w:kern w:val="0"/>
      <w:sz w:val="18"/>
      <w:szCs w:val="18"/>
    </w:rPr>
  </w:style>
  <w:style w:type="paragraph" w:customStyle="1" w:styleId="52">
    <w:name w:val="xl86"/>
    <w:basedOn w:val="1"/>
    <w:qFormat/>
    <w:uiPriority w:val="0"/>
    <w:pPr>
      <w:widowControl/>
      <w:pBdr>
        <w:top w:val="single" w:color="auto" w:sz="4" w:space="0"/>
        <w:left w:val="single" w:color="auto" w:sz="4" w:space="0"/>
        <w:bottom w:val="single" w:color="auto" w:sz="8" w:space="0"/>
        <w:right w:val="single" w:color="auto" w:sz="8" w:space="0"/>
      </w:pBdr>
      <w:shd w:val="clear" w:color="000000" w:fill="FFFFFF"/>
      <w:spacing w:before="100" w:beforeAutospacing="1" w:after="100" w:afterAutospacing="1"/>
      <w:jc w:val="center"/>
      <w:textAlignment w:val="center"/>
    </w:pPr>
    <w:rPr>
      <w:rFonts w:ascii="Times New Roman" w:hAnsi="Times New Roman" w:eastAsia="宋体" w:cs="Times New Roman"/>
      <w:color w:val="000000"/>
      <w:kern w:val="0"/>
      <w:sz w:val="18"/>
      <w:szCs w:val="18"/>
    </w:rPr>
  </w:style>
  <w:style w:type="paragraph" w:customStyle="1" w:styleId="53">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24"/>
    </w:rPr>
  </w:style>
  <w:style w:type="paragraph" w:customStyle="1" w:styleId="54">
    <w:name w:val="xl88"/>
    <w:basedOn w:val="1"/>
    <w:qFormat/>
    <w:uiPriority w:val="0"/>
    <w:pPr>
      <w:widowControl/>
      <w:pBdr>
        <w:top w:val="single" w:color="auto" w:sz="4" w:space="0"/>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3"/>
      <w:szCs w:val="13"/>
    </w:rPr>
  </w:style>
  <w:style w:type="paragraph" w:customStyle="1" w:styleId="55">
    <w:name w:val="xl89"/>
    <w:basedOn w:val="1"/>
    <w:qFormat/>
    <w:uiPriority w:val="0"/>
    <w:pPr>
      <w:widowControl/>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Times New Roman" w:hAnsi="Times New Roman" w:eastAsia="宋体" w:cs="Times New Roman"/>
      <w:color w:val="000000"/>
      <w:kern w:val="0"/>
      <w:sz w:val="14"/>
      <w:szCs w:val="14"/>
    </w:rPr>
  </w:style>
  <w:style w:type="paragraph" w:customStyle="1" w:styleId="56">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Cs w:val="21"/>
    </w:rPr>
  </w:style>
  <w:style w:type="paragraph" w:customStyle="1" w:styleId="57">
    <w:name w:val="xl91"/>
    <w:basedOn w:val="1"/>
    <w:qFormat/>
    <w:uiPriority w:val="0"/>
    <w:pPr>
      <w:widowControl/>
      <w:pBdr>
        <w:top w:val="single" w:color="auto" w:sz="8" w:space="0"/>
        <w:left w:val="single" w:color="auto" w:sz="8" w:space="0"/>
        <w:bottom w:val="single" w:color="auto" w:sz="8"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58">
    <w:name w:val="xl92"/>
    <w:basedOn w:val="1"/>
    <w:qFormat/>
    <w:uiPriority w:val="0"/>
    <w:pPr>
      <w:widowControl/>
      <w:pBdr>
        <w:top w:val="single" w:color="auto" w:sz="8" w:space="0"/>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59">
    <w:name w:val="xl93"/>
    <w:basedOn w:val="1"/>
    <w:qFormat/>
    <w:uiPriority w:val="0"/>
    <w:pPr>
      <w:widowControl/>
      <w:pBdr>
        <w:top w:val="single" w:color="auto" w:sz="8" w:space="0"/>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Times New Roman" w:hAnsi="Times New Roman" w:eastAsia="宋体" w:cs="Times New Roman"/>
      <w:color w:val="000000"/>
      <w:kern w:val="0"/>
      <w:sz w:val="18"/>
      <w:szCs w:val="18"/>
    </w:rPr>
  </w:style>
  <w:style w:type="paragraph" w:customStyle="1" w:styleId="60">
    <w:name w:val="xl94"/>
    <w:basedOn w:val="1"/>
    <w:qFormat/>
    <w:uiPriority w:val="0"/>
    <w:pPr>
      <w:widowControl/>
      <w:pBdr>
        <w:top w:val="single" w:color="auto" w:sz="8" w:space="0"/>
        <w:left w:val="single" w:color="auto" w:sz="4"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61">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4"/>
    </w:rPr>
  </w:style>
  <w:style w:type="paragraph" w:customStyle="1" w:styleId="62">
    <w:name w:val="xl96"/>
    <w:basedOn w:val="1"/>
    <w:qFormat/>
    <w:uiPriority w:val="0"/>
    <w:pPr>
      <w:widowControl/>
      <w:pBdr>
        <w:top w:val="single" w:color="auto" w:sz="4" w:space="0"/>
        <w:left w:val="single" w:color="auto" w:sz="4"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63">
    <w:name w:val="xl97"/>
    <w:basedOn w:val="1"/>
    <w:qFormat/>
    <w:uiPriority w:val="0"/>
    <w:pPr>
      <w:widowControl/>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24"/>
    </w:rPr>
  </w:style>
  <w:style w:type="paragraph" w:customStyle="1" w:styleId="64">
    <w:name w:val="xl98"/>
    <w:basedOn w:val="1"/>
    <w:qFormat/>
    <w:uiPriority w:val="0"/>
    <w:pPr>
      <w:widowControl/>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4"/>
    </w:rPr>
  </w:style>
  <w:style w:type="paragraph" w:customStyle="1" w:styleId="65">
    <w:name w:val="xl99"/>
    <w:basedOn w:val="1"/>
    <w:qFormat/>
    <w:uiPriority w:val="0"/>
    <w:pPr>
      <w:widowControl/>
      <w:pBdr>
        <w:top w:val="single" w:color="auto" w:sz="8" w:space="0"/>
        <w:left w:val="single" w:color="auto" w:sz="4" w:space="0"/>
        <w:bottom w:val="single" w:color="auto" w:sz="4" w:space="0"/>
        <w:right w:val="single" w:color="auto" w:sz="8" w:space="0"/>
      </w:pBdr>
      <w:shd w:val="clear" w:color="000000" w:fill="FFFFFF"/>
      <w:spacing w:before="100" w:beforeAutospacing="1" w:after="100" w:afterAutospacing="1"/>
      <w:jc w:val="left"/>
    </w:pPr>
    <w:rPr>
      <w:rFonts w:ascii="宋体" w:hAnsi="宋体" w:eastAsia="宋体" w:cs="宋体"/>
      <w:kern w:val="0"/>
      <w:sz w:val="24"/>
    </w:rPr>
  </w:style>
  <w:style w:type="paragraph" w:customStyle="1" w:styleId="66">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24"/>
    </w:rPr>
  </w:style>
  <w:style w:type="paragraph" w:customStyle="1" w:styleId="67">
    <w:name w:val="xl101"/>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left"/>
    </w:pPr>
    <w:rPr>
      <w:rFonts w:ascii="宋体" w:hAnsi="宋体" w:eastAsia="宋体" w:cs="宋体"/>
      <w:kern w:val="0"/>
      <w:sz w:val="24"/>
    </w:rPr>
  </w:style>
  <w:style w:type="paragraph" w:customStyle="1" w:styleId="68">
    <w:name w:val="xl102"/>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center"/>
      <w:textAlignment w:val="center"/>
    </w:pPr>
    <w:rPr>
      <w:rFonts w:ascii="Times New Roman" w:hAnsi="Times New Roman" w:eastAsia="宋体" w:cs="Times New Roman"/>
      <w:color w:val="000000"/>
      <w:kern w:val="0"/>
      <w:sz w:val="18"/>
      <w:szCs w:val="18"/>
    </w:rPr>
  </w:style>
  <w:style w:type="paragraph" w:customStyle="1" w:styleId="69">
    <w:name w:val="xl103"/>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20"/>
      <w:szCs w:val="20"/>
    </w:rPr>
  </w:style>
  <w:style w:type="paragraph" w:customStyle="1" w:styleId="70">
    <w:name w:val="xl104"/>
    <w:basedOn w:val="1"/>
    <w:qFormat/>
    <w:uiPriority w:val="0"/>
    <w:pPr>
      <w:widowControl/>
      <w:pBdr>
        <w:top w:val="single" w:color="auto" w:sz="8" w:space="0"/>
        <w:left w:val="single" w:color="auto" w:sz="4" w:space="0"/>
        <w:bottom w:val="single" w:color="auto" w:sz="8" w:space="0"/>
        <w:right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24"/>
    </w:rPr>
  </w:style>
  <w:style w:type="paragraph" w:customStyle="1" w:styleId="71">
    <w:name w:val="xl105"/>
    <w:basedOn w:val="1"/>
    <w:qFormat/>
    <w:uiPriority w:val="0"/>
    <w:pPr>
      <w:widowControl/>
      <w:pBdr>
        <w:top w:val="single" w:color="auto" w:sz="8" w:space="0"/>
        <w:left w:val="single" w:color="auto" w:sz="4" w:space="0"/>
        <w:bottom w:val="single" w:color="auto" w:sz="8" w:space="0"/>
        <w:right w:val="single" w:color="auto" w:sz="8" w:space="0"/>
      </w:pBdr>
      <w:shd w:val="clear" w:color="000000" w:fill="FFFFFF"/>
      <w:spacing w:before="100" w:beforeAutospacing="1" w:after="100" w:afterAutospacing="1"/>
      <w:jc w:val="left"/>
    </w:pPr>
    <w:rPr>
      <w:rFonts w:ascii="宋体" w:hAnsi="宋体" w:eastAsia="宋体" w:cs="宋体"/>
      <w:kern w:val="0"/>
      <w:sz w:val="24"/>
    </w:rPr>
  </w:style>
  <w:style w:type="paragraph" w:customStyle="1" w:styleId="72">
    <w:name w:val="xl106"/>
    <w:basedOn w:val="1"/>
    <w:qFormat/>
    <w:uiPriority w:val="0"/>
    <w:pPr>
      <w:widowControl/>
      <w:pBdr>
        <w:top w:val="single" w:color="auto" w:sz="8" w:space="0"/>
        <w:left w:val="single" w:color="auto" w:sz="8"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73">
    <w:name w:val="xl107"/>
    <w:basedOn w:val="1"/>
    <w:qFormat/>
    <w:uiPriority w:val="0"/>
    <w:pPr>
      <w:widowControl/>
      <w:pBdr>
        <w:left w:val="single" w:color="auto" w:sz="8"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74">
    <w:name w:val="xl108"/>
    <w:basedOn w:val="1"/>
    <w:qFormat/>
    <w:uiPriority w:val="0"/>
    <w:pPr>
      <w:widowControl/>
      <w:pBdr>
        <w:left w:val="single" w:color="auto" w:sz="8" w:space="0"/>
        <w:bottom w:val="single" w:color="auto" w:sz="8"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75">
    <w:name w:val="xl109"/>
    <w:basedOn w:val="1"/>
    <w:qFormat/>
    <w:uiPriority w:val="0"/>
    <w:pPr>
      <w:widowControl/>
      <w:pBdr>
        <w:top w:val="single" w:color="auto" w:sz="8" w:space="0"/>
        <w:left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76">
    <w:name w:val="xl110"/>
    <w:basedOn w:val="1"/>
    <w:qFormat/>
    <w:uiPriority w:val="0"/>
    <w:pPr>
      <w:widowControl/>
      <w:pBdr>
        <w:left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77">
    <w:name w:val="xl111"/>
    <w:basedOn w:val="1"/>
    <w:qFormat/>
    <w:uiPriority w:val="0"/>
    <w:pPr>
      <w:widowControl/>
      <w:pBdr>
        <w:left w:val="single" w:color="auto" w:sz="8" w:space="0"/>
        <w:bottom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78">
    <w:name w:val="xl112"/>
    <w:basedOn w:val="1"/>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24"/>
    </w:rPr>
  </w:style>
  <w:style w:type="paragraph" w:customStyle="1" w:styleId="79">
    <w:name w:val="xl113"/>
    <w:basedOn w:val="1"/>
    <w:qFormat/>
    <w:uiPriority w:val="0"/>
    <w:pPr>
      <w:widowControl/>
      <w:pBdr>
        <w:top w:val="single" w:color="auto" w:sz="4" w:space="0"/>
        <w:left w:val="single" w:color="auto" w:sz="4" w:space="0"/>
        <w:right w:val="single" w:color="auto" w:sz="8"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styleId="80">
    <w:name w:val="List Paragraph"/>
    <w:basedOn w:val="1"/>
    <w:qFormat/>
    <w:uiPriority w:val="99"/>
    <w:pPr>
      <w:ind w:firstLine="420" w:firstLineChars="200"/>
    </w:pPr>
  </w:style>
  <w:style w:type="paragraph" w:customStyle="1" w:styleId="81">
    <w:name w:val="font6"/>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82">
    <w:name w:val="xl114"/>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eastAsia="宋体" w:cs="宋体"/>
      <w:color w:val="000000"/>
      <w:kern w:val="0"/>
      <w:sz w:val="18"/>
      <w:szCs w:val="18"/>
    </w:rPr>
  </w:style>
  <w:style w:type="paragraph" w:customStyle="1" w:styleId="83">
    <w:name w:val="xl115"/>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84">
    <w:name w:val="xl116"/>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宋体" w:hAnsi="宋体" w:eastAsia="宋体" w:cs="宋体"/>
      <w:color w:val="000000"/>
      <w:kern w:val="0"/>
      <w:sz w:val="18"/>
      <w:szCs w:val="18"/>
    </w:rPr>
  </w:style>
  <w:style w:type="paragraph" w:customStyle="1" w:styleId="85">
    <w:name w:val="xl117"/>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center"/>
      <w:textAlignment w:val="center"/>
    </w:pPr>
    <w:rPr>
      <w:rFonts w:ascii="宋体" w:hAnsi="宋体" w:eastAsia="宋体" w:cs="宋体"/>
      <w:color w:val="000000"/>
      <w:kern w:val="0"/>
      <w:sz w:val="18"/>
      <w:szCs w:val="18"/>
    </w:rPr>
  </w:style>
  <w:style w:type="character" w:customStyle="1" w:styleId="86">
    <w:name w:val="正文文本 字符"/>
    <w:basedOn w:val="19"/>
    <w:qFormat/>
    <w:uiPriority w:val="0"/>
    <w:rPr>
      <w:rFonts w:asciiTheme="minorHAnsi" w:hAnsiTheme="minorHAnsi" w:eastAsiaTheme="minorEastAsia" w:cstheme="minorBidi"/>
      <w:kern w:val="2"/>
      <w:sz w:val="21"/>
      <w:szCs w:val="24"/>
    </w:rPr>
  </w:style>
  <w:style w:type="character" w:customStyle="1" w:styleId="87">
    <w:name w:val="正文文本 Char"/>
    <w:link w:val="8"/>
    <w:qFormat/>
    <w:uiPriority w:val="99"/>
    <w:rPr>
      <w:rFonts w:ascii="黑体" w:hAnsi="宋体" w:eastAsia="黑体"/>
      <w:sz w:val="24"/>
      <w:szCs w:val="24"/>
    </w:rPr>
  </w:style>
  <w:style w:type="paragraph" w:customStyle="1" w:styleId="88">
    <w:name w:val="Table Paragraph"/>
    <w:basedOn w:val="1"/>
    <w:qFormat/>
    <w:uiPriority w:val="99"/>
    <w:pPr>
      <w:autoSpaceDE w:val="0"/>
      <w:autoSpaceDN w:val="0"/>
      <w:jc w:val="left"/>
    </w:pPr>
    <w:rPr>
      <w:rFonts w:ascii="宋体" w:hAnsi="宋体" w:eastAsia="宋体" w:cs="宋体"/>
      <w:kern w:val="0"/>
      <w:sz w:val="22"/>
      <w:szCs w:val="22"/>
      <w:lang w:val="zh-CN"/>
    </w:rPr>
  </w:style>
  <w:style w:type="character" w:customStyle="1" w:styleId="89">
    <w:name w:val="标题 3 Char"/>
    <w:basedOn w:val="19"/>
    <w:link w:val="4"/>
    <w:qFormat/>
    <w:uiPriority w:val="1"/>
    <w:rPr>
      <w:rFonts w:ascii="仿宋" w:hAnsi="仿宋" w:eastAsia="仿宋" w:cs="仿宋"/>
      <w:b/>
      <w:bCs/>
      <w:sz w:val="24"/>
      <w:szCs w:val="24"/>
      <w:lang w:eastAsia="en-US"/>
    </w:rPr>
  </w:style>
  <w:style w:type="paragraph" w:customStyle="1" w:styleId="90">
    <w:name w:val="xl6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9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18"/>
      <w:szCs w:val="18"/>
    </w:rPr>
  </w:style>
  <w:style w:type="character" w:customStyle="1" w:styleId="92">
    <w:name w:val="font01"/>
    <w:qFormat/>
    <w:uiPriority w:val="0"/>
    <w:rPr>
      <w:rFonts w:hint="eastAsia" w:ascii="宋体" w:hAnsi="宋体" w:eastAsia="宋体" w:cs="宋体"/>
      <w:color w:val="000000"/>
      <w:sz w:val="18"/>
      <w:szCs w:val="18"/>
      <w:u w:val="none"/>
    </w:rPr>
  </w:style>
  <w:style w:type="paragraph" w:customStyle="1" w:styleId="93">
    <w:name w:val="WPSOffice手动目录 1"/>
    <w:qFormat/>
    <w:uiPriority w:val="0"/>
    <w:pPr>
      <w:ind w:leftChars="0"/>
    </w:pPr>
    <w:rPr>
      <w:rFonts w:ascii="Times New Roman" w:hAnsi="Times New Roman" w:eastAsia="宋体" w:cs="Times New Roman"/>
      <w:sz w:val="20"/>
      <w:szCs w:val="20"/>
    </w:rPr>
  </w:style>
  <w:style w:type="paragraph" w:customStyle="1" w:styleId="94">
    <w:name w:val="WPSOffice手动目录 2"/>
    <w:qFormat/>
    <w:uiPriority w:val="0"/>
    <w:pPr>
      <w:ind w:leftChars="200"/>
    </w:pPr>
    <w:rPr>
      <w:rFonts w:ascii="Times New Roman" w:hAnsi="Times New Roman" w:eastAsia="宋体" w:cs="Times New Roman"/>
      <w:sz w:val="20"/>
      <w:szCs w:val="20"/>
    </w:rPr>
  </w:style>
  <w:style w:type="paragraph" w:customStyle="1" w:styleId="95">
    <w:name w:val="WPSOffice手动目录 3"/>
    <w:qFormat/>
    <w:uiPriority w:val="0"/>
    <w:pPr>
      <w:ind w:leftChars="400"/>
    </w:pPr>
    <w:rPr>
      <w:rFonts w:ascii="Times New Roman" w:hAnsi="Times New Roman" w:eastAsia="宋体" w:cs="Times New Roman"/>
      <w:sz w:val="20"/>
      <w:szCs w:val="20"/>
    </w:rPr>
  </w:style>
  <w:style w:type="paragraph" w:customStyle="1" w:styleId="96">
    <w:name w:val=" Char1 Char Char Char"/>
    <w:basedOn w:val="1"/>
    <w:semiHidden/>
    <w:qFormat/>
    <w:uiPriority w:val="0"/>
    <w:pPr>
      <w:widowControl/>
      <w:spacing w:after="160" w:line="240" w:lineRule="exact"/>
      <w:jc w:val="left"/>
    </w:pPr>
    <w:rPr>
      <w:rFonts w:ascii="Verdana" w:hAnsi="Verdana"/>
      <w:kern w:val="0"/>
      <w:sz w:val="20"/>
      <w:szCs w:val="20"/>
      <w:lang w:eastAsia="en-US"/>
    </w:rPr>
  </w:style>
  <w:style w:type="paragraph" w:customStyle="1" w:styleId="97">
    <w:name w:val="my样式"/>
    <w:basedOn w:val="2"/>
    <w:qFormat/>
    <w:uiPriority w:val="0"/>
    <w:pPr>
      <w:spacing w:before="0" w:after="0" w:line="240" w:lineRule="auto"/>
      <w:jc w:val="center"/>
    </w:pPr>
    <w:rPr>
      <w:rFonts w:ascii="黑体" w:eastAsia="黑体" w:cs="宋体"/>
      <w:b w:val="0"/>
      <w:bCs w:val="0"/>
      <w:sz w:val="32"/>
      <w:szCs w:val="20"/>
    </w:rPr>
  </w:style>
  <w:style w:type="paragraph" w:customStyle="1" w:styleId="98">
    <w:name w:val="sb_main"/>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9">
    <w:name w:val="style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00">
    <w:name w:val="普通(网站)1"/>
    <w:basedOn w:val="1"/>
    <w:qFormat/>
    <w:uiPriority w:val="0"/>
    <w:rPr>
      <w:sz w:val="24"/>
    </w:rPr>
  </w:style>
  <w:style w:type="paragraph" w:customStyle="1" w:styleId="101">
    <w:name w:val="页眉1"/>
    <w:basedOn w:val="1"/>
    <w:qFormat/>
    <w:uiPriority w:val="0"/>
    <w:pPr>
      <w:pBdr>
        <w:bottom w:val="single" w:color="000000" w:sz="6" w:space="1"/>
      </w:pBdr>
      <w:tabs>
        <w:tab w:val="center" w:pos="4153"/>
        <w:tab w:val="right" w:pos="8306"/>
      </w:tabs>
      <w:snapToGrid w:val="0"/>
      <w:jc w:val="center"/>
    </w:pPr>
    <w:rPr>
      <w:sz w:val="18"/>
      <w:szCs w:val="18"/>
    </w:rPr>
  </w:style>
  <w:style w:type="paragraph" w:customStyle="1" w:styleId="102">
    <w:name w:val="页脚1"/>
    <w:basedOn w:val="1"/>
    <w:qFormat/>
    <w:uiPriority w:val="0"/>
    <w:pPr>
      <w:tabs>
        <w:tab w:val="center" w:pos="4153"/>
        <w:tab w:val="right" w:pos="8306"/>
      </w:tabs>
      <w:snapToGrid w:val="0"/>
      <w:jc w:val="left"/>
    </w:pPr>
    <w:rPr>
      <w:sz w:val="18"/>
      <w:szCs w:val="18"/>
    </w:rPr>
  </w:style>
  <w:style w:type="paragraph" w:customStyle="1" w:styleId="103">
    <w:name w:val="Table Text"/>
    <w:basedOn w:val="1"/>
    <w:semiHidden/>
    <w:qFormat/>
    <w:uiPriority w:val="0"/>
    <w:rPr>
      <w:rFonts w:ascii="宋体" w:hAnsi="宋体" w:eastAsia="宋体" w:cs="宋体"/>
      <w:sz w:val="21"/>
      <w:szCs w:val="21"/>
      <w:lang w:val="en-US" w:eastAsia="en-US" w:bidi="ar-SA"/>
    </w:rPr>
  </w:style>
  <w:style w:type="table" w:customStyle="1" w:styleId="104">
    <w:name w:val="Table Normal"/>
    <w:semiHidden/>
    <w:unhideWhenUsed/>
    <w:qFormat/>
    <w:uiPriority w:val="0"/>
    <w:tblPr>
      <w:tblCellMar>
        <w:top w:w="0" w:type="dxa"/>
        <w:left w:w="0" w:type="dxa"/>
        <w:bottom w:w="0" w:type="dxa"/>
        <w:right w:w="0" w:type="dxa"/>
      </w:tblCellMar>
    </w:tblPr>
  </w:style>
  <w:style w:type="paragraph" w:customStyle="1" w:styleId="105">
    <w:name w:val="Default"/>
    <w:unhideWhenUsed/>
    <w:qFormat/>
    <w:uiPriority w:val="99"/>
    <w:pPr>
      <w:widowControl w:val="0"/>
      <w:autoSpaceDE w:val="0"/>
      <w:autoSpaceDN w:val="0"/>
      <w:adjustRightInd w:val="0"/>
    </w:pPr>
    <w:rPr>
      <w:rFonts w:hint="eastAsia" w:ascii="黑体" w:hAnsi="黑体" w:eastAsia="黑体" w:cs="Times New Roman"/>
      <w:color w:val="000000"/>
      <w:sz w:val="24"/>
      <w:lang w:val="en-US" w:eastAsia="zh-CN" w:bidi="ar-SA"/>
    </w:rPr>
  </w:style>
  <w:style w:type="character" w:customStyle="1" w:styleId="106">
    <w:name w:val="font51"/>
    <w:basedOn w:val="19"/>
    <w:qFormat/>
    <w:uiPriority w:val="0"/>
    <w:rPr>
      <w:rFonts w:ascii="宋体" w:hAnsi="宋体" w:eastAsia="宋体" w:cs="宋体"/>
      <w:b/>
      <w:bCs/>
      <w:color w:val="000000"/>
      <w:sz w:val="28"/>
      <w:szCs w:val="28"/>
      <w:u w:val="none"/>
    </w:rPr>
  </w:style>
  <w:style w:type="character" w:customStyle="1" w:styleId="107">
    <w:name w:val="font61"/>
    <w:basedOn w:val="19"/>
    <w:qFormat/>
    <w:uiPriority w:val="0"/>
    <w:rPr>
      <w:rFonts w:ascii="宋体" w:hAnsi="宋体" w:eastAsia="宋体" w:cs="宋体"/>
      <w:b/>
      <w:bCs/>
      <w:color w:val="000000"/>
      <w:sz w:val="20"/>
      <w:szCs w:val="20"/>
      <w:u w:val="none"/>
    </w:rPr>
  </w:style>
  <w:style w:type="character" w:customStyle="1" w:styleId="108">
    <w:name w:val="font71"/>
    <w:basedOn w:val="19"/>
    <w:qFormat/>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B7258E-585F-4F8A-83B4-B7BF600809D6}">
  <ds:schemaRefs/>
</ds:datastoreItem>
</file>

<file path=docProps/app.xml><?xml version="1.0" encoding="utf-8"?>
<Properties xmlns="http://schemas.openxmlformats.org/officeDocument/2006/extended-properties" xmlns:vt="http://schemas.openxmlformats.org/officeDocument/2006/docPropsVTypes">
  <Template>Normal</Template>
  <Pages>29</Pages>
  <Words>2454</Words>
  <Characters>13991</Characters>
  <Lines>116</Lines>
  <Paragraphs>32</Paragraphs>
  <TotalTime>2</TotalTime>
  <ScaleCrop>false</ScaleCrop>
  <LinksUpToDate>false</LinksUpToDate>
  <CharactersWithSpaces>16413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2022-01-06T03:06:00Z</dcterms:created>
  <dc:creator>李斐</dc:creator>
  <cp:lastModifiedBy>果蔬</cp:lastModifiedBy>
  <cp:lastPrinted>2023-06-03T03:44:00Z</cp:lastPrinted>
  <dcterms:modified xsi:type="dcterms:W3CDTF">2023-12-01T03:50:02Z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689A1D2D60424F9DBA8E4E983F1C9661_13</vt:lpwstr>
  </property>
</Properties>
</file>